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5CFD" w14:textId="77777777" w:rsidR="00002563" w:rsidRPr="00EE3308" w:rsidRDefault="00002563" w:rsidP="00002563">
      <w:pPr>
        <w:spacing w:line="240" w:lineRule="auto"/>
        <w:jc w:val="center"/>
        <w:rPr>
          <w:rFonts w:cstheme="minorHAnsi"/>
          <w:b/>
          <w:sz w:val="24"/>
          <w:szCs w:val="28"/>
        </w:rPr>
      </w:pPr>
      <w:r w:rsidRPr="00EE3308">
        <w:rPr>
          <w:rFonts w:cstheme="minorHAnsi"/>
          <w:b/>
          <w:sz w:val="24"/>
          <w:szCs w:val="24"/>
        </w:rPr>
        <w:t>Columbia River Estuary RM&amp;E – P2: 123452</w:t>
      </w:r>
      <w:r w:rsidRPr="00EE3308">
        <w:rPr>
          <w:rFonts w:cstheme="minorHAnsi"/>
          <w:b/>
          <w:sz w:val="24"/>
          <w:szCs w:val="28"/>
        </w:rPr>
        <w:br/>
      </w:r>
    </w:p>
    <w:p w14:paraId="30462DF4" w14:textId="77777777" w:rsidR="00002563" w:rsidRPr="00EE3308" w:rsidRDefault="00002563" w:rsidP="00002563">
      <w:pPr>
        <w:spacing w:line="240" w:lineRule="auto"/>
        <w:rPr>
          <w:rFonts w:cstheme="minorHAnsi"/>
          <w:b/>
          <w:sz w:val="24"/>
          <w:szCs w:val="24"/>
        </w:rPr>
      </w:pPr>
      <w:r w:rsidRPr="00EE3308">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002563" w:rsidRPr="00EE3308" w14:paraId="28F2A57C" w14:textId="77777777" w:rsidTr="009A3A83">
        <w:trPr>
          <w:trHeight w:val="432"/>
        </w:trPr>
        <w:tc>
          <w:tcPr>
            <w:tcW w:w="2695" w:type="dxa"/>
            <w:vAlign w:val="center"/>
          </w:tcPr>
          <w:p w14:paraId="0F5DAD87" w14:textId="77777777" w:rsidR="00002563" w:rsidRPr="00EE3308" w:rsidRDefault="00002563" w:rsidP="009A3A83">
            <w:pPr>
              <w:rPr>
                <w:rFonts w:cstheme="minorHAnsi"/>
                <w:b/>
                <w:szCs w:val="24"/>
              </w:rPr>
            </w:pPr>
            <w:r w:rsidRPr="00EE3308">
              <w:rPr>
                <w:rFonts w:cstheme="minorHAnsi"/>
                <w:b/>
                <w:szCs w:val="24"/>
              </w:rPr>
              <w:t>P2 Identifier</w:t>
            </w:r>
          </w:p>
        </w:tc>
        <w:tc>
          <w:tcPr>
            <w:tcW w:w="6655" w:type="dxa"/>
            <w:vAlign w:val="center"/>
          </w:tcPr>
          <w:p w14:paraId="17D6DD40" w14:textId="77777777" w:rsidR="00002563" w:rsidRPr="00EE3308" w:rsidRDefault="00002563" w:rsidP="009A3A83">
            <w:pPr>
              <w:rPr>
                <w:rFonts w:cstheme="minorHAnsi"/>
                <w:szCs w:val="24"/>
              </w:rPr>
            </w:pPr>
            <w:r w:rsidRPr="00EE3308">
              <w:rPr>
                <w:rFonts w:cstheme="minorHAnsi"/>
                <w:szCs w:val="24"/>
              </w:rPr>
              <w:t>123452</w:t>
            </w:r>
          </w:p>
        </w:tc>
      </w:tr>
      <w:tr w:rsidR="00002563" w:rsidRPr="00EE3308" w14:paraId="2E47AE71" w14:textId="77777777" w:rsidTr="009A3A83">
        <w:trPr>
          <w:trHeight w:val="432"/>
        </w:trPr>
        <w:tc>
          <w:tcPr>
            <w:tcW w:w="2695" w:type="dxa"/>
            <w:vAlign w:val="center"/>
          </w:tcPr>
          <w:p w14:paraId="7FC35997" w14:textId="77777777" w:rsidR="00002563" w:rsidRPr="00EE3308" w:rsidRDefault="00002563" w:rsidP="009A3A83">
            <w:pPr>
              <w:rPr>
                <w:rFonts w:cstheme="minorHAnsi"/>
                <w:b/>
                <w:szCs w:val="24"/>
              </w:rPr>
            </w:pPr>
            <w:r w:rsidRPr="00EE3308">
              <w:rPr>
                <w:rFonts w:cstheme="minorHAnsi"/>
                <w:b/>
                <w:szCs w:val="24"/>
              </w:rPr>
              <w:t>Project Manager (PM)</w:t>
            </w:r>
          </w:p>
        </w:tc>
        <w:tc>
          <w:tcPr>
            <w:tcW w:w="6655" w:type="dxa"/>
            <w:vAlign w:val="center"/>
          </w:tcPr>
          <w:p w14:paraId="0450E401" w14:textId="77777777" w:rsidR="00002563" w:rsidRPr="00EE3308" w:rsidRDefault="00002563" w:rsidP="009A3A83">
            <w:pPr>
              <w:rPr>
                <w:rFonts w:cstheme="minorHAnsi"/>
                <w:szCs w:val="24"/>
              </w:rPr>
            </w:pPr>
            <w:r w:rsidRPr="00EE3308">
              <w:rPr>
                <w:rFonts w:cstheme="minorHAnsi"/>
                <w:szCs w:val="24"/>
              </w:rPr>
              <w:t xml:space="preserve">Mark </w:t>
            </w:r>
            <w:proofErr w:type="gramStart"/>
            <w:r w:rsidRPr="00EE3308">
              <w:rPr>
                <w:rFonts w:cstheme="minorHAnsi"/>
                <w:szCs w:val="24"/>
              </w:rPr>
              <w:t xml:space="preserve">Bierman </w:t>
            </w:r>
            <w:r>
              <w:rPr>
                <w:rFonts w:cstheme="minorHAnsi"/>
                <w:szCs w:val="24"/>
              </w:rPr>
              <w:t xml:space="preserve"> </w:t>
            </w:r>
            <w:r w:rsidRPr="00EE3308">
              <w:rPr>
                <w:rFonts w:cstheme="minorHAnsi"/>
                <w:szCs w:val="24"/>
              </w:rPr>
              <w:t>(</w:t>
            </w:r>
            <w:proofErr w:type="gramEnd"/>
            <w:r w:rsidRPr="00EE3308">
              <w:rPr>
                <w:rFonts w:cstheme="minorHAnsi"/>
                <w:szCs w:val="24"/>
              </w:rPr>
              <w:t>NWP, 503-808-3734)</w:t>
            </w:r>
          </w:p>
        </w:tc>
      </w:tr>
      <w:tr w:rsidR="00002563" w:rsidRPr="00EE3308" w14:paraId="33FB1A6C" w14:textId="77777777" w:rsidTr="009A3A83">
        <w:trPr>
          <w:trHeight w:val="432"/>
        </w:trPr>
        <w:tc>
          <w:tcPr>
            <w:tcW w:w="2695" w:type="dxa"/>
            <w:vAlign w:val="center"/>
          </w:tcPr>
          <w:p w14:paraId="0EFBE1BF" w14:textId="77777777" w:rsidR="00002563" w:rsidRPr="00EE3308" w:rsidRDefault="00002563" w:rsidP="009A3A83">
            <w:pPr>
              <w:rPr>
                <w:rFonts w:cstheme="minorHAnsi"/>
                <w:b/>
                <w:szCs w:val="24"/>
              </w:rPr>
            </w:pPr>
            <w:r w:rsidRPr="00EE3308">
              <w:rPr>
                <w:rFonts w:cstheme="minorHAnsi"/>
                <w:b/>
                <w:szCs w:val="24"/>
              </w:rPr>
              <w:t>Technical Lead (TL)</w:t>
            </w:r>
          </w:p>
        </w:tc>
        <w:tc>
          <w:tcPr>
            <w:tcW w:w="6655" w:type="dxa"/>
            <w:vAlign w:val="center"/>
          </w:tcPr>
          <w:p w14:paraId="701014CE" w14:textId="77777777" w:rsidR="00002563" w:rsidRPr="00EE3308" w:rsidRDefault="00002563" w:rsidP="009A3A83">
            <w:pPr>
              <w:rPr>
                <w:rFonts w:cstheme="minorHAnsi"/>
                <w:szCs w:val="24"/>
              </w:rPr>
            </w:pPr>
            <w:r>
              <w:rPr>
                <w:rFonts w:cstheme="minorHAnsi"/>
                <w:szCs w:val="24"/>
              </w:rPr>
              <w:t>TBD</w:t>
            </w:r>
          </w:p>
        </w:tc>
      </w:tr>
      <w:tr w:rsidR="00002563" w:rsidRPr="00EE3308" w14:paraId="6B6AB37A" w14:textId="77777777" w:rsidTr="009A3A83">
        <w:trPr>
          <w:trHeight w:val="432"/>
        </w:trPr>
        <w:tc>
          <w:tcPr>
            <w:tcW w:w="2695" w:type="dxa"/>
            <w:vAlign w:val="center"/>
          </w:tcPr>
          <w:p w14:paraId="4331772D" w14:textId="77777777" w:rsidR="00002563" w:rsidRPr="00EE3308" w:rsidRDefault="00002563" w:rsidP="009A3A83">
            <w:pPr>
              <w:rPr>
                <w:rFonts w:cstheme="minorHAnsi"/>
                <w:b/>
                <w:szCs w:val="24"/>
              </w:rPr>
            </w:pPr>
            <w:r w:rsidRPr="00EE3308">
              <w:rPr>
                <w:rFonts w:cstheme="minorHAnsi"/>
                <w:b/>
                <w:szCs w:val="24"/>
              </w:rPr>
              <w:t>Biologist/Coordination</w:t>
            </w:r>
          </w:p>
        </w:tc>
        <w:tc>
          <w:tcPr>
            <w:tcW w:w="6655" w:type="dxa"/>
            <w:vAlign w:val="center"/>
          </w:tcPr>
          <w:p w14:paraId="5BB5E04C" w14:textId="77777777" w:rsidR="00002563" w:rsidRPr="00EE3308" w:rsidRDefault="00002563" w:rsidP="009A3A83">
            <w:pPr>
              <w:rPr>
                <w:rFonts w:cstheme="minorHAnsi"/>
                <w:szCs w:val="24"/>
              </w:rPr>
            </w:pPr>
            <w:r>
              <w:rPr>
                <w:rFonts w:cstheme="minorHAnsi"/>
                <w:szCs w:val="24"/>
              </w:rPr>
              <w:t>Jake Macdonald (temp) (NWP, 503-808-4844)</w:t>
            </w:r>
          </w:p>
        </w:tc>
      </w:tr>
    </w:tbl>
    <w:p w14:paraId="7774306D" w14:textId="77777777" w:rsidR="00002563" w:rsidRPr="00EE3308" w:rsidRDefault="00002563" w:rsidP="00002563">
      <w:pPr>
        <w:spacing w:line="240" w:lineRule="auto"/>
        <w:rPr>
          <w:rFonts w:cstheme="minorHAnsi"/>
          <w:b/>
          <w:sz w:val="24"/>
          <w:szCs w:val="24"/>
        </w:rPr>
      </w:pPr>
    </w:p>
    <w:p w14:paraId="3F72AF06" w14:textId="77777777" w:rsidR="00002563" w:rsidRPr="00EE3308" w:rsidRDefault="00002563" w:rsidP="00002563">
      <w:pPr>
        <w:pStyle w:val="Default"/>
        <w:rPr>
          <w:rFonts w:asciiTheme="minorHAnsi" w:hAnsiTheme="minorHAnsi" w:cstheme="minorHAnsi"/>
          <w:sz w:val="22"/>
          <w:szCs w:val="22"/>
        </w:rPr>
      </w:pPr>
      <w:r w:rsidRPr="00EE3308">
        <w:rPr>
          <w:rFonts w:asciiTheme="minorHAnsi" w:hAnsiTheme="minorHAnsi" w:cstheme="minorHAnsi"/>
          <w:sz w:val="22"/>
          <w:szCs w:val="22"/>
        </w:rPr>
        <w:t xml:space="preserve">The purpose of this project is to conduct monitoring and evaluation in support of the Corps’ and BPA’s commitments per </w:t>
      </w:r>
      <w:r>
        <w:rPr>
          <w:rFonts w:asciiTheme="minorHAnsi" w:hAnsiTheme="minorHAnsi" w:cstheme="minorHAnsi"/>
          <w:sz w:val="22"/>
          <w:szCs w:val="22"/>
        </w:rPr>
        <w:t>the 2020 NMFS Biological Opinion for the Columbia River System and Proposed Action</w:t>
      </w:r>
      <w:r w:rsidRPr="00EE3308">
        <w:rPr>
          <w:rFonts w:asciiTheme="minorHAnsi" w:hAnsiTheme="minorHAnsi" w:cstheme="minorHAnsi"/>
          <w:sz w:val="22"/>
          <w:szCs w:val="22"/>
        </w:rPr>
        <w:t>. A secondary purpose is to synthesize information and inform adaptive management of the Corps/BPA Columbia Estuary Ecosystem Restoration Program</w:t>
      </w:r>
      <w:r>
        <w:rPr>
          <w:rFonts w:asciiTheme="minorHAnsi" w:hAnsiTheme="minorHAnsi" w:cstheme="minorHAnsi"/>
          <w:sz w:val="22"/>
          <w:szCs w:val="22"/>
        </w:rPr>
        <w:t xml:space="preserve"> (CEERP)</w:t>
      </w:r>
      <w:r w:rsidRPr="00EE3308">
        <w:rPr>
          <w:rFonts w:asciiTheme="minorHAnsi" w:hAnsiTheme="minorHAnsi" w:cstheme="minorHAnsi"/>
          <w:sz w:val="22"/>
          <w:szCs w:val="22"/>
        </w:rPr>
        <w:t>.</w:t>
      </w:r>
      <w:r w:rsidRPr="004209EB">
        <w:rPr>
          <w:rFonts w:asciiTheme="minorHAnsi" w:hAnsiTheme="minorHAnsi" w:cstheme="minorHAnsi"/>
          <w:sz w:val="22"/>
          <w:szCs w:val="22"/>
        </w:rPr>
        <w:t xml:space="preserve"> </w:t>
      </w:r>
      <w:r>
        <w:rPr>
          <w:rFonts w:asciiTheme="minorHAnsi" w:hAnsiTheme="minorHAnsi" w:cstheme="minorHAnsi"/>
          <w:sz w:val="22"/>
          <w:szCs w:val="22"/>
        </w:rPr>
        <w:t xml:space="preserve"> Funding in 2022 will be to complete a Synthesis Memo #3, and to conduct an implementation plan for a new study of Indirect Benefits of estuary restoration projects to mainstem-migrating juvenile salmonids. </w:t>
      </w:r>
    </w:p>
    <w:p w14:paraId="2DB14289" w14:textId="77777777" w:rsidR="00002563" w:rsidRPr="00EE3308" w:rsidRDefault="00002563" w:rsidP="00002563">
      <w:pPr>
        <w:pStyle w:val="Default"/>
        <w:rPr>
          <w:rFonts w:asciiTheme="minorHAnsi" w:hAnsiTheme="minorHAnsi" w:cstheme="minorHAnsi"/>
          <w:b/>
        </w:rPr>
      </w:pPr>
    </w:p>
    <w:p w14:paraId="045254F2" w14:textId="77777777" w:rsidR="00002563" w:rsidRDefault="00002563" w:rsidP="00002563">
      <w:pPr>
        <w:pStyle w:val="Default"/>
        <w:rPr>
          <w:rFonts w:asciiTheme="minorHAnsi" w:hAnsiTheme="minorHAnsi" w:cstheme="minorHAnsi"/>
          <w:sz w:val="22"/>
          <w:szCs w:val="22"/>
        </w:rPr>
      </w:pPr>
      <w:r w:rsidRPr="00EE3308">
        <w:rPr>
          <w:rFonts w:asciiTheme="minorHAnsi" w:hAnsiTheme="minorHAnsi" w:cstheme="minorHAnsi"/>
          <w:sz w:val="22"/>
          <w:szCs w:val="22"/>
        </w:rPr>
        <w:t>Monitoring and evaluation are integral parts of the overall Corps/BPA estuary habitat program</w:t>
      </w:r>
      <w:r>
        <w:rPr>
          <w:rFonts w:asciiTheme="minorHAnsi" w:hAnsiTheme="minorHAnsi" w:cstheme="minorHAnsi"/>
          <w:sz w:val="22"/>
          <w:szCs w:val="22"/>
        </w:rPr>
        <w:t>, and part of an adaptive management strategy actively implemented under the CEERP</w:t>
      </w:r>
      <w:r w:rsidRPr="00EE3308">
        <w:rPr>
          <w:rFonts w:asciiTheme="minorHAnsi" w:hAnsiTheme="minorHAnsi" w:cstheme="minorHAnsi"/>
          <w:sz w:val="22"/>
          <w:szCs w:val="22"/>
        </w:rPr>
        <w:t>.</w:t>
      </w:r>
      <w:r>
        <w:rPr>
          <w:rFonts w:asciiTheme="minorHAnsi" w:hAnsiTheme="minorHAnsi" w:cstheme="minorHAnsi"/>
          <w:sz w:val="22"/>
          <w:szCs w:val="22"/>
        </w:rPr>
        <w:t xml:space="preserve">  The 2020 NMFS Biological Opinion includes the requirement to fund a Synthesis Memorandum (Memo) roughly every five years as part of the adaptive management strategy.  The Synthesis Memo</w:t>
      </w:r>
      <w:r w:rsidRPr="00EE3308">
        <w:rPr>
          <w:rFonts w:asciiTheme="minorHAnsi" w:hAnsiTheme="minorHAnsi" w:cstheme="minorHAnsi"/>
          <w:sz w:val="22"/>
          <w:szCs w:val="22"/>
        </w:rPr>
        <w:t xml:space="preserve"> </w:t>
      </w:r>
      <w:r>
        <w:rPr>
          <w:rFonts w:asciiTheme="minorHAnsi" w:hAnsiTheme="minorHAnsi" w:cstheme="minorHAnsi"/>
          <w:sz w:val="22"/>
          <w:szCs w:val="22"/>
        </w:rPr>
        <w:t xml:space="preserve">would summarize all estuary-related research findings over the previous five years and synthesize the information to draw conclusions regarding the state of the science, critical uncertainties, and recommendations for future research.  </w:t>
      </w:r>
    </w:p>
    <w:p w14:paraId="65916CDA" w14:textId="77777777" w:rsidR="00002563" w:rsidRDefault="00002563" w:rsidP="00002563">
      <w:pPr>
        <w:pStyle w:val="Default"/>
        <w:rPr>
          <w:rFonts w:asciiTheme="minorHAnsi" w:hAnsiTheme="minorHAnsi" w:cstheme="minorHAnsi"/>
          <w:sz w:val="22"/>
          <w:szCs w:val="22"/>
        </w:rPr>
      </w:pPr>
    </w:p>
    <w:p w14:paraId="1709D618" w14:textId="77777777" w:rsidR="00002563" w:rsidRPr="00EE3308" w:rsidRDefault="00002563" w:rsidP="00002563">
      <w:pPr>
        <w:pStyle w:val="Default"/>
        <w:rPr>
          <w:rFonts w:asciiTheme="minorHAnsi" w:hAnsiTheme="minorHAnsi" w:cstheme="minorHAnsi"/>
          <w:sz w:val="22"/>
          <w:szCs w:val="22"/>
        </w:rPr>
      </w:pPr>
      <w:r>
        <w:rPr>
          <w:rFonts w:asciiTheme="minorHAnsi" w:hAnsiTheme="minorHAnsi" w:cstheme="minorHAnsi"/>
          <w:sz w:val="22"/>
          <w:szCs w:val="22"/>
        </w:rPr>
        <w:t xml:space="preserve">FY22 Capability (below) included funding of the final year of benthic sampling (2022) at Woodland Island; this study was funded in FY21. </w:t>
      </w:r>
    </w:p>
    <w:p w14:paraId="6F670399" w14:textId="77777777" w:rsidR="00002563" w:rsidRPr="00EE3308" w:rsidRDefault="00002563" w:rsidP="00002563">
      <w:pPr>
        <w:pStyle w:val="Default"/>
        <w:rPr>
          <w:rFonts w:asciiTheme="minorHAnsi" w:hAnsiTheme="minorHAnsi" w:cstheme="minorHAnsi"/>
        </w:rPr>
      </w:pPr>
    </w:p>
    <w:p w14:paraId="5E01FD37" w14:textId="77777777" w:rsidR="00002563" w:rsidRPr="00EE3308" w:rsidRDefault="00002563" w:rsidP="00002563">
      <w:pPr>
        <w:pStyle w:val="Default"/>
        <w:rPr>
          <w:rFonts w:asciiTheme="minorHAnsi" w:hAnsiTheme="minorHAnsi" w:cstheme="minorHAnsi"/>
          <w:b/>
          <w:color w:val="auto"/>
        </w:rPr>
      </w:pPr>
      <w:r w:rsidRPr="00EE3308">
        <w:rPr>
          <w:rFonts w:asciiTheme="minorHAnsi" w:hAnsiTheme="minorHAnsi" w:cstheme="minorHAnsi"/>
          <w:b/>
          <w:color w:val="auto"/>
        </w:rPr>
        <w:t>SCHEDULE &amp; COST</w:t>
      </w:r>
    </w:p>
    <w:p w14:paraId="0D5C11E8" w14:textId="77777777" w:rsidR="00002563" w:rsidRPr="00EE3308" w:rsidRDefault="00002563" w:rsidP="00002563">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885"/>
        <w:gridCol w:w="1123"/>
        <w:gridCol w:w="6342"/>
      </w:tblGrid>
      <w:tr w:rsidR="00002563" w:rsidRPr="00EE3308" w14:paraId="27454847" w14:textId="77777777" w:rsidTr="009A3A83">
        <w:tc>
          <w:tcPr>
            <w:tcW w:w="1885" w:type="dxa"/>
          </w:tcPr>
          <w:p w14:paraId="2027AC7A" w14:textId="77777777" w:rsidR="00002563" w:rsidRPr="00EE3308" w:rsidRDefault="00002563" w:rsidP="009A3A83">
            <w:pPr>
              <w:pStyle w:val="Default"/>
              <w:rPr>
                <w:rFonts w:asciiTheme="minorHAnsi" w:hAnsiTheme="minorHAnsi" w:cstheme="minorHAnsi"/>
                <w:b/>
                <w:color w:val="auto"/>
              </w:rPr>
            </w:pPr>
            <w:r w:rsidRPr="00EE3308">
              <w:rPr>
                <w:rFonts w:asciiTheme="minorHAnsi" w:hAnsiTheme="minorHAnsi" w:cstheme="minorHAnsi"/>
                <w:b/>
                <w:color w:val="auto"/>
              </w:rPr>
              <w:t>YEAR</w:t>
            </w:r>
          </w:p>
        </w:tc>
        <w:tc>
          <w:tcPr>
            <w:tcW w:w="1123" w:type="dxa"/>
          </w:tcPr>
          <w:p w14:paraId="2D108AD4" w14:textId="77777777" w:rsidR="00002563" w:rsidRPr="00EE3308" w:rsidRDefault="00002563" w:rsidP="009A3A83">
            <w:pPr>
              <w:pStyle w:val="Default"/>
              <w:rPr>
                <w:rFonts w:asciiTheme="minorHAnsi" w:hAnsiTheme="minorHAnsi" w:cstheme="minorHAnsi"/>
                <w:b/>
                <w:color w:val="auto"/>
              </w:rPr>
            </w:pPr>
            <w:r w:rsidRPr="00EE3308">
              <w:rPr>
                <w:rFonts w:asciiTheme="minorHAnsi" w:hAnsiTheme="minorHAnsi" w:cstheme="minorHAnsi"/>
                <w:b/>
                <w:color w:val="auto"/>
              </w:rPr>
              <w:t>COST</w:t>
            </w:r>
          </w:p>
        </w:tc>
        <w:tc>
          <w:tcPr>
            <w:tcW w:w="6342" w:type="dxa"/>
          </w:tcPr>
          <w:p w14:paraId="6EAABDEE" w14:textId="77777777" w:rsidR="00002563" w:rsidRPr="00EE3308" w:rsidRDefault="00002563" w:rsidP="009A3A83">
            <w:pPr>
              <w:pStyle w:val="Default"/>
              <w:rPr>
                <w:rFonts w:asciiTheme="minorHAnsi" w:hAnsiTheme="minorHAnsi" w:cstheme="minorHAnsi"/>
                <w:b/>
                <w:color w:val="auto"/>
              </w:rPr>
            </w:pPr>
            <w:r w:rsidRPr="00EE3308">
              <w:rPr>
                <w:rFonts w:asciiTheme="minorHAnsi" w:hAnsiTheme="minorHAnsi" w:cstheme="minorHAnsi"/>
                <w:b/>
                <w:color w:val="auto"/>
              </w:rPr>
              <w:t>MAJOR ACTIVITIES</w:t>
            </w:r>
          </w:p>
        </w:tc>
      </w:tr>
      <w:tr w:rsidR="00002563" w:rsidRPr="00EE3308" w14:paraId="62A3729A" w14:textId="77777777" w:rsidTr="009A3A83">
        <w:tc>
          <w:tcPr>
            <w:tcW w:w="1885" w:type="dxa"/>
            <w:vAlign w:val="center"/>
          </w:tcPr>
          <w:p w14:paraId="27F2862A" w14:textId="77777777" w:rsidR="00002563" w:rsidRPr="00EE3308" w:rsidRDefault="00002563" w:rsidP="009A3A83">
            <w:pPr>
              <w:pStyle w:val="Default"/>
              <w:rPr>
                <w:rFonts w:asciiTheme="minorHAnsi" w:hAnsiTheme="minorHAnsi" w:cstheme="minorHAnsi"/>
                <w:b/>
                <w:color w:val="auto"/>
                <w:sz w:val="22"/>
              </w:rPr>
            </w:pPr>
            <w:r w:rsidRPr="00EE3308">
              <w:rPr>
                <w:rFonts w:asciiTheme="minorHAnsi" w:hAnsiTheme="minorHAnsi" w:cstheme="minorHAnsi"/>
                <w:b/>
                <w:color w:val="auto"/>
                <w:sz w:val="22"/>
              </w:rPr>
              <w:t>FY</w:t>
            </w:r>
            <w:proofErr w:type="gramStart"/>
            <w:r>
              <w:rPr>
                <w:rFonts w:asciiTheme="minorHAnsi" w:hAnsiTheme="minorHAnsi" w:cstheme="minorHAnsi"/>
                <w:b/>
                <w:color w:val="auto"/>
                <w:sz w:val="22"/>
              </w:rPr>
              <w:t>21  Est.</w:t>
            </w:r>
            <w:proofErr w:type="gramEnd"/>
            <w:r w:rsidRPr="00EE3308">
              <w:rPr>
                <w:rFonts w:asciiTheme="minorHAnsi" w:hAnsiTheme="minorHAnsi" w:cstheme="minorHAnsi"/>
                <w:b/>
                <w:color w:val="auto"/>
                <w:sz w:val="22"/>
              </w:rPr>
              <w:t xml:space="preserve"> </w:t>
            </w:r>
            <w:r>
              <w:rPr>
                <w:rFonts w:asciiTheme="minorHAnsi" w:hAnsiTheme="minorHAnsi" w:cstheme="minorHAnsi"/>
                <w:b/>
                <w:color w:val="auto"/>
                <w:sz w:val="22"/>
              </w:rPr>
              <w:t xml:space="preserve">Actual </w:t>
            </w:r>
            <w:r w:rsidRPr="00EE3308">
              <w:rPr>
                <w:rFonts w:asciiTheme="minorHAnsi" w:hAnsiTheme="minorHAnsi" w:cstheme="minorHAnsi"/>
                <w:b/>
                <w:color w:val="auto"/>
                <w:sz w:val="22"/>
              </w:rPr>
              <w:t>Obligation</w:t>
            </w:r>
          </w:p>
        </w:tc>
        <w:tc>
          <w:tcPr>
            <w:tcW w:w="1123" w:type="dxa"/>
          </w:tcPr>
          <w:p w14:paraId="1E11BFD8" w14:textId="77777777" w:rsidR="00002563" w:rsidRPr="00EE3308" w:rsidRDefault="00002563" w:rsidP="009A3A83">
            <w:pPr>
              <w:pStyle w:val="Default"/>
              <w:rPr>
                <w:rFonts w:asciiTheme="minorHAnsi" w:hAnsiTheme="minorHAnsi" w:cstheme="minorHAnsi"/>
                <w:color w:val="auto"/>
                <w:sz w:val="22"/>
              </w:rPr>
            </w:pPr>
            <w:r w:rsidRPr="00C013D2">
              <w:rPr>
                <w:rFonts w:asciiTheme="minorHAnsi" w:hAnsiTheme="minorHAnsi" w:cstheme="minorHAnsi"/>
                <w:color w:val="auto"/>
                <w:sz w:val="22"/>
              </w:rPr>
              <w:t>$1.1M</w:t>
            </w:r>
          </w:p>
        </w:tc>
        <w:tc>
          <w:tcPr>
            <w:tcW w:w="6342" w:type="dxa"/>
          </w:tcPr>
          <w:p w14:paraId="29F978FE" w14:textId="77777777" w:rsidR="00002563" w:rsidRPr="00EE3308" w:rsidRDefault="00002563" w:rsidP="009A3A83">
            <w:pPr>
              <w:pStyle w:val="Default"/>
              <w:rPr>
                <w:rFonts w:asciiTheme="minorHAnsi" w:hAnsiTheme="minorHAnsi" w:cstheme="minorHAnsi"/>
                <w:color w:val="auto"/>
                <w:sz w:val="22"/>
              </w:rPr>
            </w:pPr>
            <w:r>
              <w:rPr>
                <w:rFonts w:asciiTheme="minorHAnsi" w:hAnsiTheme="minorHAnsi" w:cstheme="minorHAnsi"/>
                <w:color w:val="auto"/>
                <w:sz w:val="22"/>
              </w:rPr>
              <w:t xml:space="preserve">Woodland Island benthic sampling 2021, Woodland Island benthic sampling 2022, </w:t>
            </w:r>
            <w:r w:rsidRPr="00C013D2">
              <w:rPr>
                <w:rFonts w:asciiTheme="minorHAnsi" w:hAnsiTheme="minorHAnsi" w:cstheme="minorHAnsi"/>
                <w:color w:val="auto"/>
                <w:sz w:val="22"/>
              </w:rPr>
              <w:t>Woodland Island fish sampling</w:t>
            </w:r>
          </w:p>
        </w:tc>
      </w:tr>
      <w:tr w:rsidR="00002563" w:rsidRPr="00EE3308" w14:paraId="04517C2B" w14:textId="77777777" w:rsidTr="009A3A83">
        <w:tc>
          <w:tcPr>
            <w:tcW w:w="1885" w:type="dxa"/>
            <w:vAlign w:val="center"/>
          </w:tcPr>
          <w:p w14:paraId="33705EFB" w14:textId="77777777" w:rsidR="00002563" w:rsidRPr="00EE3308" w:rsidRDefault="00002563" w:rsidP="009A3A83">
            <w:pPr>
              <w:pStyle w:val="Default"/>
              <w:rPr>
                <w:rFonts w:asciiTheme="minorHAnsi" w:hAnsiTheme="minorHAnsi" w:cstheme="minorHAnsi"/>
                <w:b/>
                <w:color w:val="auto"/>
                <w:sz w:val="22"/>
              </w:rPr>
            </w:pPr>
            <w:r w:rsidRPr="00EE3308">
              <w:rPr>
                <w:rFonts w:asciiTheme="minorHAnsi" w:hAnsiTheme="minorHAnsi" w:cstheme="minorHAnsi"/>
                <w:b/>
                <w:color w:val="auto"/>
                <w:sz w:val="22"/>
              </w:rPr>
              <w:t>FY</w:t>
            </w:r>
            <w:r>
              <w:rPr>
                <w:rFonts w:asciiTheme="minorHAnsi" w:hAnsiTheme="minorHAnsi" w:cstheme="minorHAnsi"/>
                <w:b/>
                <w:color w:val="auto"/>
                <w:sz w:val="22"/>
              </w:rPr>
              <w:t>22</w:t>
            </w:r>
          </w:p>
          <w:p w14:paraId="78F87F46" w14:textId="77777777" w:rsidR="00002563" w:rsidRPr="00EE3308" w:rsidRDefault="00002563" w:rsidP="009A3A83">
            <w:pPr>
              <w:pStyle w:val="Default"/>
              <w:rPr>
                <w:rFonts w:asciiTheme="minorHAnsi" w:hAnsiTheme="minorHAnsi" w:cstheme="minorHAnsi"/>
                <w:b/>
                <w:color w:val="auto"/>
                <w:sz w:val="22"/>
              </w:rPr>
            </w:pPr>
            <w:r>
              <w:rPr>
                <w:rFonts w:asciiTheme="minorHAnsi" w:hAnsiTheme="minorHAnsi" w:cstheme="minorHAnsi"/>
                <w:b/>
                <w:color w:val="auto"/>
                <w:sz w:val="22"/>
              </w:rPr>
              <w:t>Capability</w:t>
            </w:r>
          </w:p>
        </w:tc>
        <w:tc>
          <w:tcPr>
            <w:tcW w:w="1123" w:type="dxa"/>
          </w:tcPr>
          <w:p w14:paraId="70379431" w14:textId="7BC5E097" w:rsidR="00002563" w:rsidRPr="00EE3308" w:rsidRDefault="00002563" w:rsidP="009A3A83">
            <w:pPr>
              <w:pStyle w:val="Default"/>
              <w:rPr>
                <w:rFonts w:asciiTheme="minorHAnsi" w:hAnsiTheme="minorHAnsi" w:cstheme="minorHAnsi"/>
                <w:color w:val="auto"/>
                <w:sz w:val="22"/>
              </w:rPr>
            </w:pPr>
            <w:r w:rsidRPr="00002563">
              <w:rPr>
                <w:rFonts w:asciiTheme="minorHAnsi" w:hAnsiTheme="minorHAnsi" w:cstheme="minorHAnsi"/>
                <w:color w:val="auto"/>
                <w:sz w:val="22"/>
              </w:rPr>
              <w:t>$</w:t>
            </w:r>
            <w:r w:rsidRPr="00002563">
              <w:rPr>
                <w:rFonts w:asciiTheme="minorHAnsi" w:hAnsiTheme="minorHAnsi" w:cstheme="minorHAnsi"/>
                <w:color w:val="auto"/>
                <w:sz w:val="22"/>
              </w:rPr>
              <w:t>1</w:t>
            </w:r>
            <w:r>
              <w:rPr>
                <w:rFonts w:asciiTheme="minorHAnsi" w:hAnsiTheme="minorHAnsi" w:cstheme="minorHAnsi"/>
                <w:color w:val="auto"/>
                <w:sz w:val="22"/>
              </w:rPr>
              <w:t>.4M</w:t>
            </w:r>
          </w:p>
        </w:tc>
        <w:tc>
          <w:tcPr>
            <w:tcW w:w="6342" w:type="dxa"/>
          </w:tcPr>
          <w:p w14:paraId="1F3D0E12" w14:textId="4AA017DE" w:rsidR="00002563" w:rsidRPr="00EE3308" w:rsidRDefault="00002563" w:rsidP="009A3A83">
            <w:pPr>
              <w:pStyle w:val="Default"/>
              <w:rPr>
                <w:rFonts w:asciiTheme="minorHAnsi" w:hAnsiTheme="minorHAnsi" w:cstheme="minorHAnsi"/>
                <w:color w:val="auto"/>
                <w:sz w:val="22"/>
              </w:rPr>
            </w:pPr>
            <w:r>
              <w:rPr>
                <w:rFonts w:asciiTheme="minorHAnsi" w:hAnsiTheme="minorHAnsi" w:cstheme="minorHAnsi"/>
                <w:color w:val="auto"/>
                <w:sz w:val="22"/>
              </w:rPr>
              <w:t>Synthesis Memo #3, Indirect Benefits year 1</w:t>
            </w:r>
            <w:r w:rsidR="0069067E">
              <w:rPr>
                <w:rFonts w:asciiTheme="minorHAnsi" w:hAnsiTheme="minorHAnsi" w:cstheme="minorHAnsi"/>
                <w:color w:val="auto"/>
                <w:sz w:val="22"/>
              </w:rPr>
              <w:t xml:space="preserve">, </w:t>
            </w:r>
            <w:r w:rsidR="0069067E" w:rsidRPr="0069067E">
              <w:rPr>
                <w:rFonts w:asciiTheme="minorHAnsi" w:hAnsiTheme="minorHAnsi" w:cstheme="minorHAnsi"/>
                <w:color w:val="auto"/>
                <w:sz w:val="22"/>
                <w:highlight w:val="yellow"/>
              </w:rPr>
              <w:t>Woodland Island benthic sampling 2022</w:t>
            </w:r>
          </w:p>
        </w:tc>
      </w:tr>
    </w:tbl>
    <w:p w14:paraId="451536DE" w14:textId="77777777" w:rsidR="00002563" w:rsidRPr="00EE3308" w:rsidRDefault="00002563" w:rsidP="00002563">
      <w:pPr>
        <w:pStyle w:val="Default"/>
        <w:rPr>
          <w:rFonts w:asciiTheme="minorHAnsi" w:hAnsiTheme="minorHAnsi" w:cstheme="minorHAnsi"/>
          <w:b/>
          <w:color w:val="auto"/>
        </w:rPr>
      </w:pPr>
    </w:p>
    <w:p w14:paraId="59E6B3CB" w14:textId="77777777" w:rsidR="00002563" w:rsidRPr="00EE3308" w:rsidRDefault="00002563" w:rsidP="00002563">
      <w:pPr>
        <w:pStyle w:val="Default"/>
        <w:rPr>
          <w:rFonts w:asciiTheme="minorHAnsi" w:hAnsiTheme="minorHAnsi" w:cstheme="minorHAnsi"/>
          <w:b/>
          <w:color w:val="auto"/>
        </w:rPr>
      </w:pPr>
    </w:p>
    <w:p w14:paraId="028C6816" w14:textId="77777777" w:rsidR="00002563" w:rsidRPr="004209EB" w:rsidRDefault="00002563" w:rsidP="00002563">
      <w:pPr>
        <w:tabs>
          <w:tab w:val="left" w:pos="360"/>
        </w:tabs>
        <w:spacing w:line="240" w:lineRule="auto"/>
        <w:rPr>
          <w:rFonts w:cstheme="minorHAnsi"/>
        </w:rPr>
      </w:pPr>
    </w:p>
    <w:p w14:paraId="5F81D8B3" w14:textId="77777777" w:rsidR="00002563" w:rsidRPr="00EE3308" w:rsidRDefault="00002563" w:rsidP="00002563">
      <w:pPr>
        <w:tabs>
          <w:tab w:val="left" w:pos="360"/>
        </w:tabs>
        <w:spacing w:line="240" w:lineRule="auto"/>
        <w:rPr>
          <w:rFonts w:cstheme="minorHAnsi"/>
        </w:rPr>
      </w:pPr>
    </w:p>
    <w:p w14:paraId="22F209D5" w14:textId="77777777" w:rsidR="00002563" w:rsidRDefault="00002563" w:rsidP="001E2F1B">
      <w:pPr>
        <w:spacing w:line="240" w:lineRule="auto"/>
        <w:jc w:val="center"/>
        <w:rPr>
          <w:rFonts w:cstheme="minorHAnsi"/>
          <w:b/>
          <w:sz w:val="24"/>
          <w:szCs w:val="24"/>
        </w:rPr>
      </w:pPr>
      <w:r>
        <w:rPr>
          <w:rFonts w:cstheme="minorHAnsi"/>
          <w:b/>
          <w:sz w:val="24"/>
          <w:szCs w:val="24"/>
        </w:rPr>
        <w:br w:type="page"/>
      </w:r>
    </w:p>
    <w:p w14:paraId="548FD10F" w14:textId="6E7BEAF7" w:rsidR="001E2F1B" w:rsidRPr="00B45B39" w:rsidRDefault="00057C72" w:rsidP="001E2F1B">
      <w:pPr>
        <w:spacing w:line="240" w:lineRule="auto"/>
        <w:jc w:val="center"/>
        <w:rPr>
          <w:rFonts w:cstheme="minorHAnsi"/>
          <w:b/>
          <w:szCs w:val="24"/>
        </w:rPr>
      </w:pPr>
      <w:r>
        <w:rPr>
          <w:rFonts w:cstheme="minorHAnsi"/>
          <w:b/>
          <w:sz w:val="24"/>
          <w:szCs w:val="24"/>
        </w:rPr>
        <w:lastRenderedPageBreak/>
        <w:t xml:space="preserve">The </w:t>
      </w:r>
      <w:proofErr w:type="spellStart"/>
      <w:r>
        <w:rPr>
          <w:rFonts w:cstheme="minorHAnsi"/>
          <w:b/>
          <w:sz w:val="24"/>
          <w:szCs w:val="24"/>
        </w:rPr>
        <w:t>Dalles</w:t>
      </w:r>
      <w:proofErr w:type="spellEnd"/>
      <w:r>
        <w:rPr>
          <w:rFonts w:cstheme="minorHAnsi"/>
          <w:b/>
          <w:sz w:val="24"/>
          <w:szCs w:val="24"/>
        </w:rPr>
        <w:t xml:space="preserve"> Dam Auxiliary Water Supply</w:t>
      </w:r>
      <w:r w:rsidR="00CB264C">
        <w:rPr>
          <w:rFonts w:cstheme="minorHAnsi"/>
          <w:b/>
          <w:sz w:val="24"/>
          <w:szCs w:val="24"/>
        </w:rPr>
        <w:t xml:space="preserve"> (</w:t>
      </w:r>
      <w:r>
        <w:rPr>
          <w:rFonts w:cstheme="minorHAnsi"/>
          <w:b/>
          <w:sz w:val="24"/>
          <w:szCs w:val="24"/>
        </w:rPr>
        <w:t>TDA AWS</w:t>
      </w:r>
      <w:r w:rsidR="00CB264C">
        <w:rPr>
          <w:rFonts w:cstheme="minorHAnsi"/>
          <w:b/>
          <w:sz w:val="24"/>
          <w:szCs w:val="24"/>
        </w:rPr>
        <w:t>)</w:t>
      </w:r>
      <w:r w:rsidR="000A2365" w:rsidRPr="00B45B39">
        <w:rPr>
          <w:rFonts w:cstheme="minorHAnsi"/>
          <w:b/>
          <w:sz w:val="24"/>
          <w:szCs w:val="24"/>
        </w:rPr>
        <w:t xml:space="preserve"> – P2: </w:t>
      </w:r>
      <w:r w:rsidR="00E227E9">
        <w:rPr>
          <w:rFonts w:cstheme="minorHAnsi"/>
          <w:b/>
          <w:sz w:val="24"/>
          <w:szCs w:val="24"/>
        </w:rPr>
        <w:t>142630</w:t>
      </w:r>
      <w:r w:rsidR="001E2F1B" w:rsidRPr="00B45B39">
        <w:rPr>
          <w:rFonts w:cstheme="minorHAnsi"/>
          <w:b/>
          <w:szCs w:val="24"/>
        </w:rPr>
        <w:br/>
      </w:r>
    </w:p>
    <w:p w14:paraId="2C540E62" w14:textId="77777777" w:rsidR="00AB43DD" w:rsidRPr="00B45B39" w:rsidRDefault="00AB43DD" w:rsidP="00B45B39">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B45B39" w14:paraId="63EB00F1" w14:textId="77777777" w:rsidTr="007C6093">
        <w:trPr>
          <w:trHeight w:val="432"/>
        </w:trPr>
        <w:tc>
          <w:tcPr>
            <w:tcW w:w="2695" w:type="dxa"/>
            <w:vAlign w:val="center"/>
          </w:tcPr>
          <w:p w14:paraId="2FB88897" w14:textId="77777777" w:rsidR="00AB43DD" w:rsidRPr="00B45B39" w:rsidRDefault="007C6093" w:rsidP="00423E4E">
            <w:pPr>
              <w:rPr>
                <w:rFonts w:cstheme="minorHAnsi"/>
                <w:b/>
                <w:szCs w:val="24"/>
              </w:rPr>
            </w:pPr>
            <w:r w:rsidRPr="00B45B39">
              <w:rPr>
                <w:rFonts w:cstheme="minorHAnsi"/>
                <w:b/>
                <w:szCs w:val="24"/>
              </w:rPr>
              <w:t>P2 Identifier</w:t>
            </w:r>
          </w:p>
        </w:tc>
        <w:tc>
          <w:tcPr>
            <w:tcW w:w="6655" w:type="dxa"/>
            <w:vAlign w:val="center"/>
          </w:tcPr>
          <w:p w14:paraId="555CCB2B" w14:textId="0DE515C0" w:rsidR="00AB43DD" w:rsidRPr="00B45B39" w:rsidRDefault="00E227E9" w:rsidP="00423E4E">
            <w:pPr>
              <w:rPr>
                <w:rFonts w:cstheme="minorHAnsi"/>
                <w:szCs w:val="24"/>
              </w:rPr>
            </w:pPr>
            <w:r>
              <w:rPr>
                <w:rFonts w:cstheme="minorHAnsi"/>
                <w:szCs w:val="24"/>
              </w:rPr>
              <w:t>142630</w:t>
            </w:r>
          </w:p>
        </w:tc>
      </w:tr>
      <w:tr w:rsidR="00AB43DD" w:rsidRPr="00B45B39" w14:paraId="6E56D627" w14:textId="77777777" w:rsidTr="007C6093">
        <w:trPr>
          <w:trHeight w:val="432"/>
        </w:trPr>
        <w:tc>
          <w:tcPr>
            <w:tcW w:w="2695" w:type="dxa"/>
            <w:vAlign w:val="center"/>
          </w:tcPr>
          <w:p w14:paraId="499012F7" w14:textId="77777777" w:rsidR="00AB43DD" w:rsidRPr="00B45B39" w:rsidRDefault="00AB43DD" w:rsidP="00423E4E">
            <w:pPr>
              <w:rPr>
                <w:rFonts w:cstheme="minorHAnsi"/>
                <w:b/>
                <w:szCs w:val="24"/>
              </w:rPr>
            </w:pPr>
            <w:r w:rsidRPr="00B45B39">
              <w:rPr>
                <w:rFonts w:cstheme="minorHAnsi"/>
                <w:b/>
                <w:szCs w:val="24"/>
              </w:rPr>
              <w:t>Project Manager (PM)</w:t>
            </w:r>
          </w:p>
        </w:tc>
        <w:tc>
          <w:tcPr>
            <w:tcW w:w="6655" w:type="dxa"/>
            <w:vAlign w:val="center"/>
          </w:tcPr>
          <w:p w14:paraId="37345969" w14:textId="68FD905A" w:rsidR="00AB43DD" w:rsidRPr="00B45B39" w:rsidRDefault="00DB36C3" w:rsidP="00423E4E">
            <w:pPr>
              <w:rPr>
                <w:rFonts w:cstheme="minorHAnsi"/>
                <w:szCs w:val="24"/>
              </w:rPr>
            </w:pPr>
            <w:r>
              <w:rPr>
                <w:rFonts w:cstheme="minorHAnsi"/>
                <w:szCs w:val="24"/>
              </w:rPr>
              <w:t xml:space="preserve">Erin </w:t>
            </w:r>
            <w:proofErr w:type="gramStart"/>
            <w:r>
              <w:rPr>
                <w:rFonts w:cstheme="minorHAnsi"/>
                <w:szCs w:val="24"/>
              </w:rPr>
              <w:t>Kovalchuk</w:t>
            </w:r>
            <w:r w:rsidR="00B45B39">
              <w:rPr>
                <w:rFonts w:cstheme="minorHAnsi"/>
                <w:szCs w:val="24"/>
              </w:rPr>
              <w:t xml:space="preserve"> </w:t>
            </w:r>
            <w:r w:rsidR="00761ED2" w:rsidRPr="00B45B39">
              <w:rPr>
                <w:rFonts w:cstheme="minorHAnsi"/>
                <w:szCs w:val="24"/>
              </w:rPr>
              <w:t xml:space="preserve"> (</w:t>
            </w:r>
            <w:proofErr w:type="gramEnd"/>
            <w:r w:rsidR="00761ED2" w:rsidRPr="00B45B39">
              <w:rPr>
                <w:rFonts w:cstheme="minorHAnsi"/>
                <w:szCs w:val="24"/>
              </w:rPr>
              <w:t>NWP, 5</w:t>
            </w:r>
            <w:r>
              <w:rPr>
                <w:rFonts w:cstheme="minorHAnsi"/>
                <w:szCs w:val="24"/>
              </w:rPr>
              <w:t>41</w:t>
            </w:r>
            <w:r w:rsidR="00761ED2" w:rsidRPr="00B45B39">
              <w:rPr>
                <w:rFonts w:cstheme="minorHAnsi"/>
                <w:szCs w:val="24"/>
              </w:rPr>
              <w:t>-</w:t>
            </w:r>
            <w:r>
              <w:rPr>
                <w:rFonts w:cstheme="minorHAnsi"/>
                <w:szCs w:val="24"/>
              </w:rPr>
              <w:t>506</w:t>
            </w:r>
            <w:r w:rsidR="00761ED2" w:rsidRPr="00B45B39">
              <w:rPr>
                <w:rFonts w:cstheme="minorHAnsi"/>
                <w:szCs w:val="24"/>
              </w:rPr>
              <w:t>-</w:t>
            </w:r>
            <w:r>
              <w:rPr>
                <w:rFonts w:cstheme="minorHAnsi"/>
                <w:szCs w:val="24"/>
              </w:rPr>
              <w:t>8279</w:t>
            </w:r>
            <w:r w:rsidR="00446100" w:rsidRPr="00B45B39">
              <w:rPr>
                <w:rFonts w:cstheme="minorHAnsi"/>
                <w:szCs w:val="24"/>
              </w:rPr>
              <w:t>)</w:t>
            </w:r>
          </w:p>
        </w:tc>
      </w:tr>
      <w:tr w:rsidR="00AB43DD" w:rsidRPr="00B45B39" w14:paraId="4E499A27" w14:textId="77777777" w:rsidTr="007C6093">
        <w:trPr>
          <w:trHeight w:val="432"/>
        </w:trPr>
        <w:tc>
          <w:tcPr>
            <w:tcW w:w="2695" w:type="dxa"/>
            <w:vAlign w:val="center"/>
          </w:tcPr>
          <w:p w14:paraId="14627B2D" w14:textId="77777777" w:rsidR="00AB43DD" w:rsidRPr="00B45B39" w:rsidRDefault="00AB43DD" w:rsidP="00423E4E">
            <w:pPr>
              <w:rPr>
                <w:rFonts w:cstheme="minorHAnsi"/>
                <w:b/>
                <w:szCs w:val="24"/>
              </w:rPr>
            </w:pPr>
            <w:r w:rsidRPr="00B45B39">
              <w:rPr>
                <w:rFonts w:cstheme="minorHAnsi"/>
                <w:b/>
                <w:szCs w:val="24"/>
              </w:rPr>
              <w:t>Technical Lead (TL)</w:t>
            </w:r>
          </w:p>
        </w:tc>
        <w:tc>
          <w:tcPr>
            <w:tcW w:w="6655" w:type="dxa"/>
            <w:vAlign w:val="center"/>
          </w:tcPr>
          <w:p w14:paraId="211C1B22" w14:textId="439CB150" w:rsidR="00AB43DD" w:rsidRPr="00B45B39" w:rsidRDefault="00DB36C3" w:rsidP="00423E4E">
            <w:pPr>
              <w:rPr>
                <w:rFonts w:cstheme="minorHAnsi"/>
                <w:szCs w:val="24"/>
              </w:rPr>
            </w:pPr>
            <w:r>
              <w:rPr>
                <w:rFonts w:cstheme="minorHAnsi"/>
                <w:szCs w:val="24"/>
              </w:rPr>
              <w:t xml:space="preserve">Mehdi </w:t>
            </w:r>
            <w:proofErr w:type="spellStart"/>
            <w:proofErr w:type="gramStart"/>
            <w:r>
              <w:rPr>
                <w:rFonts w:cstheme="minorHAnsi"/>
                <w:szCs w:val="24"/>
              </w:rPr>
              <w:t>Roshani</w:t>
            </w:r>
            <w:proofErr w:type="spellEnd"/>
            <w:r w:rsidR="007D5B5E" w:rsidRPr="00B45B39">
              <w:rPr>
                <w:rFonts w:cstheme="minorHAnsi"/>
                <w:szCs w:val="24"/>
              </w:rPr>
              <w:t xml:space="preserve"> </w:t>
            </w:r>
            <w:r w:rsidR="00867EFA" w:rsidRPr="00B45B39">
              <w:rPr>
                <w:rFonts w:cstheme="minorHAnsi"/>
                <w:szCs w:val="24"/>
              </w:rPr>
              <w:t xml:space="preserve"> (</w:t>
            </w:r>
            <w:proofErr w:type="gramEnd"/>
            <w:r w:rsidR="00867EFA" w:rsidRPr="00B45B39">
              <w:rPr>
                <w:rFonts w:cstheme="minorHAnsi"/>
                <w:szCs w:val="24"/>
              </w:rPr>
              <w:t>NWP</w:t>
            </w:r>
            <w:r w:rsidR="00643AD3" w:rsidRPr="00B45B39">
              <w:rPr>
                <w:rFonts w:cstheme="minorHAnsi"/>
                <w:szCs w:val="24"/>
              </w:rPr>
              <w:t>,</w:t>
            </w:r>
            <w:r w:rsidR="00867EFA" w:rsidRPr="00B45B39">
              <w:rPr>
                <w:rFonts w:cstheme="minorHAnsi"/>
                <w:szCs w:val="24"/>
              </w:rPr>
              <w:t xml:space="preserve"> 503-808-</w:t>
            </w:r>
            <w:r>
              <w:rPr>
                <w:rFonts w:cstheme="minorHAnsi"/>
                <w:szCs w:val="24"/>
              </w:rPr>
              <w:t>4988</w:t>
            </w:r>
            <w:r w:rsidR="00B45B39">
              <w:rPr>
                <w:rFonts w:cstheme="minorHAnsi"/>
                <w:szCs w:val="24"/>
              </w:rPr>
              <w:t>)</w:t>
            </w:r>
          </w:p>
        </w:tc>
      </w:tr>
      <w:tr w:rsidR="00AB43DD" w:rsidRPr="00B45B39" w14:paraId="4DA00FEA" w14:textId="77777777" w:rsidTr="007C6093">
        <w:trPr>
          <w:trHeight w:val="432"/>
        </w:trPr>
        <w:tc>
          <w:tcPr>
            <w:tcW w:w="2695" w:type="dxa"/>
            <w:vAlign w:val="center"/>
          </w:tcPr>
          <w:p w14:paraId="78ABA9D9" w14:textId="77777777" w:rsidR="00AB43DD" w:rsidRPr="00B45B39" w:rsidRDefault="00AB43DD" w:rsidP="00423E4E">
            <w:pPr>
              <w:rPr>
                <w:rFonts w:cstheme="minorHAnsi"/>
                <w:b/>
                <w:szCs w:val="24"/>
              </w:rPr>
            </w:pPr>
            <w:r w:rsidRPr="00B45B39">
              <w:rPr>
                <w:rFonts w:cstheme="minorHAnsi"/>
                <w:b/>
                <w:szCs w:val="24"/>
              </w:rPr>
              <w:t>Biologist</w:t>
            </w:r>
            <w:r w:rsidR="00446100" w:rsidRPr="00B45B39">
              <w:rPr>
                <w:rFonts w:cstheme="minorHAnsi"/>
                <w:b/>
                <w:szCs w:val="24"/>
              </w:rPr>
              <w:t>/Coordination</w:t>
            </w:r>
          </w:p>
        </w:tc>
        <w:tc>
          <w:tcPr>
            <w:tcW w:w="6655" w:type="dxa"/>
            <w:vAlign w:val="center"/>
          </w:tcPr>
          <w:p w14:paraId="6C9FE84F" w14:textId="4B35ABF7" w:rsidR="00AB43DD" w:rsidRPr="00B45B39" w:rsidRDefault="00DB36C3" w:rsidP="00423E4E">
            <w:pPr>
              <w:rPr>
                <w:rFonts w:cstheme="minorHAnsi"/>
                <w:szCs w:val="24"/>
              </w:rPr>
            </w:pPr>
            <w:r>
              <w:rPr>
                <w:rFonts w:cstheme="minorHAnsi"/>
                <w:szCs w:val="24"/>
              </w:rPr>
              <w:t>Eric Grosvenor/Jon Rerecich</w:t>
            </w:r>
            <w:r w:rsidR="00446100" w:rsidRPr="00B45B39">
              <w:rPr>
                <w:rFonts w:cstheme="minorHAnsi"/>
                <w:szCs w:val="24"/>
              </w:rPr>
              <w:t xml:space="preserve"> (</w:t>
            </w:r>
            <w:r w:rsidR="00761ED2" w:rsidRPr="00B45B39">
              <w:rPr>
                <w:rFonts w:cstheme="minorHAnsi"/>
                <w:szCs w:val="24"/>
              </w:rPr>
              <w:t>NWP, 503-808-4844</w:t>
            </w:r>
            <w:r w:rsidR="00446100" w:rsidRPr="00B45B39">
              <w:rPr>
                <w:rFonts w:cstheme="minorHAnsi"/>
                <w:szCs w:val="24"/>
              </w:rPr>
              <w:t>)</w:t>
            </w:r>
          </w:p>
        </w:tc>
      </w:tr>
    </w:tbl>
    <w:p w14:paraId="69B680FB" w14:textId="167AA107" w:rsidR="00446100" w:rsidRPr="00B45B39" w:rsidRDefault="00446100" w:rsidP="00B45B39">
      <w:pPr>
        <w:spacing w:line="240" w:lineRule="auto"/>
        <w:rPr>
          <w:rFonts w:cstheme="minorHAnsi"/>
          <w:b/>
          <w:sz w:val="24"/>
          <w:szCs w:val="24"/>
        </w:rPr>
      </w:pPr>
    </w:p>
    <w:p w14:paraId="6DDC2DA6" w14:textId="77777777" w:rsidR="00DB36C3" w:rsidRDefault="00DB36C3" w:rsidP="00B45B39">
      <w:pPr>
        <w:rPr>
          <w:rFonts w:cs="Arial"/>
        </w:rPr>
      </w:pPr>
      <w:r>
        <w:t xml:space="preserve">This project is to evaluate alternatives to remove debris from The </w:t>
      </w:r>
      <w:proofErr w:type="spellStart"/>
      <w:r>
        <w:t>Dalles</w:t>
      </w:r>
      <w:proofErr w:type="spellEnd"/>
      <w:r>
        <w:t xml:space="preserve"> Dam Auxiliary Water Supply (AWS) trash rack. Debris build-up on the rack currently causes high head differential across the rack.</w:t>
      </w:r>
      <w:r>
        <w:rPr>
          <w:rFonts w:cs="Arial"/>
        </w:rPr>
        <w:t xml:space="preserve"> Fish Unit Rehab, potentially starting in the year 2024, requires the AWS backup system to operate during the rehab to provide adequate flow for fish attraction. Fish Unit Rehab duration is one year per unit for a total of two years. Long term use of the backup AWS system will be part of the alternatives evaluation.</w:t>
      </w:r>
    </w:p>
    <w:p w14:paraId="436E7AD2" w14:textId="0C2FC771" w:rsidR="007D5B5E" w:rsidRDefault="00DB36C3" w:rsidP="009A1148">
      <w:pPr>
        <w:autoSpaceDE w:val="0"/>
        <w:autoSpaceDN w:val="0"/>
        <w:adjustRightInd w:val="0"/>
        <w:spacing w:line="240" w:lineRule="auto"/>
        <w:rPr>
          <w:rFonts w:cstheme="minorHAnsi"/>
          <w:iCs/>
          <w:color w:val="000000"/>
        </w:rPr>
      </w:pPr>
      <w:r>
        <w:rPr>
          <w:rFonts w:cstheme="minorHAnsi"/>
        </w:rPr>
        <w:t xml:space="preserve">FY22 funding is to continue and complete the Engineering Documentation Report (EDR) and begin work on the Design Documentation Report (DDR). </w:t>
      </w:r>
    </w:p>
    <w:p w14:paraId="53CDC948" w14:textId="77777777" w:rsidR="001E2F1B" w:rsidRPr="00B45B39" w:rsidRDefault="001E2F1B" w:rsidP="00423E4E">
      <w:pPr>
        <w:pStyle w:val="Default"/>
        <w:rPr>
          <w:rFonts w:asciiTheme="minorHAnsi" w:hAnsiTheme="minorHAnsi" w:cstheme="minorHAnsi"/>
          <w:color w:val="auto"/>
        </w:rPr>
      </w:pPr>
    </w:p>
    <w:p w14:paraId="18AFB1EA" w14:textId="77777777" w:rsidR="003B0929" w:rsidRPr="00B45B39" w:rsidRDefault="009C3B33" w:rsidP="009A1148">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274920EC" w14:textId="77777777" w:rsidR="003B0929" w:rsidRPr="00B45B39" w:rsidRDefault="003B0929" w:rsidP="00423E4E">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885"/>
        <w:gridCol w:w="1123"/>
        <w:gridCol w:w="6342"/>
      </w:tblGrid>
      <w:tr w:rsidR="00A37DA4" w:rsidRPr="00B45B39" w14:paraId="7BF1C6F1" w14:textId="77777777" w:rsidTr="009A1148">
        <w:tc>
          <w:tcPr>
            <w:tcW w:w="1885" w:type="dxa"/>
          </w:tcPr>
          <w:p w14:paraId="3B80B914"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123" w:type="dxa"/>
          </w:tcPr>
          <w:p w14:paraId="544908B5"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10DFFCCC" w14:textId="77777777" w:rsidR="00A37DA4" w:rsidRPr="00B45B39" w:rsidRDefault="001E2F1B" w:rsidP="00423E4E">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832F67" w:rsidRPr="00B45B39" w14:paraId="7C9C4DC2" w14:textId="77777777" w:rsidTr="009A1148">
        <w:tc>
          <w:tcPr>
            <w:tcW w:w="1885" w:type="dxa"/>
            <w:vAlign w:val="center"/>
          </w:tcPr>
          <w:p w14:paraId="056A0B88" w14:textId="78DCB563" w:rsidR="00832F67" w:rsidRPr="00B45B39" w:rsidRDefault="002D29C5" w:rsidP="001E2F1B">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sidR="009A1148">
              <w:rPr>
                <w:rFonts w:asciiTheme="minorHAnsi" w:hAnsiTheme="minorHAnsi" w:cstheme="minorHAnsi"/>
                <w:b/>
                <w:color w:val="auto"/>
                <w:sz w:val="22"/>
              </w:rPr>
              <w:t xml:space="preserve">21 Est. </w:t>
            </w:r>
            <w:r w:rsidR="006668BE" w:rsidRPr="00B45B39">
              <w:rPr>
                <w:rFonts w:asciiTheme="minorHAnsi" w:hAnsiTheme="minorHAnsi" w:cstheme="minorHAnsi"/>
                <w:b/>
                <w:color w:val="auto"/>
                <w:sz w:val="22"/>
              </w:rPr>
              <w:t>Actual Obligation</w:t>
            </w:r>
          </w:p>
        </w:tc>
        <w:tc>
          <w:tcPr>
            <w:tcW w:w="1123" w:type="dxa"/>
          </w:tcPr>
          <w:p w14:paraId="50491D2C" w14:textId="021EC2AF" w:rsidR="00832F67" w:rsidRPr="00B45B39" w:rsidRDefault="009A1148" w:rsidP="00423E4E">
            <w:pPr>
              <w:pStyle w:val="Default"/>
              <w:rPr>
                <w:rFonts w:asciiTheme="minorHAnsi" w:hAnsiTheme="minorHAnsi" w:cstheme="minorHAnsi"/>
                <w:color w:val="auto"/>
                <w:sz w:val="22"/>
              </w:rPr>
            </w:pPr>
            <w:r w:rsidRPr="00E227E9">
              <w:rPr>
                <w:rFonts w:asciiTheme="minorHAnsi" w:hAnsiTheme="minorHAnsi" w:cstheme="minorHAnsi"/>
                <w:color w:val="auto"/>
                <w:sz w:val="22"/>
              </w:rPr>
              <w:t>$</w:t>
            </w:r>
            <w:r w:rsidR="00DB36C3" w:rsidRPr="00E227E9">
              <w:rPr>
                <w:rFonts w:asciiTheme="minorHAnsi" w:hAnsiTheme="minorHAnsi" w:cstheme="minorHAnsi"/>
                <w:color w:val="auto"/>
                <w:sz w:val="22"/>
              </w:rPr>
              <w:t>3</w:t>
            </w:r>
            <w:r w:rsidR="00E227E9" w:rsidRPr="00E227E9">
              <w:rPr>
                <w:rFonts w:asciiTheme="minorHAnsi" w:hAnsiTheme="minorHAnsi" w:cstheme="minorHAnsi"/>
                <w:color w:val="auto"/>
                <w:sz w:val="22"/>
              </w:rPr>
              <w:t>00</w:t>
            </w:r>
            <w:r w:rsidR="00DB36C3" w:rsidRPr="00E227E9">
              <w:rPr>
                <w:rFonts w:asciiTheme="minorHAnsi" w:hAnsiTheme="minorHAnsi" w:cstheme="minorHAnsi"/>
                <w:color w:val="auto"/>
                <w:sz w:val="22"/>
              </w:rPr>
              <w:t>k</w:t>
            </w:r>
          </w:p>
        </w:tc>
        <w:tc>
          <w:tcPr>
            <w:tcW w:w="6342" w:type="dxa"/>
          </w:tcPr>
          <w:p w14:paraId="1FF106BD" w14:textId="1AC54127" w:rsidR="00832F67" w:rsidRPr="00B45B39" w:rsidRDefault="00DB36C3" w:rsidP="00423E4E">
            <w:pPr>
              <w:pStyle w:val="Default"/>
              <w:rPr>
                <w:rFonts w:asciiTheme="minorHAnsi" w:hAnsiTheme="minorHAnsi" w:cstheme="minorHAnsi"/>
                <w:color w:val="auto"/>
                <w:sz w:val="22"/>
              </w:rPr>
            </w:pPr>
            <w:r>
              <w:rPr>
                <w:rFonts w:asciiTheme="minorHAnsi" w:hAnsiTheme="minorHAnsi" w:cstheme="minorHAnsi"/>
                <w:color w:val="auto"/>
                <w:sz w:val="22"/>
              </w:rPr>
              <w:t>Begin EDR, complete Value Management study</w:t>
            </w:r>
            <w:r w:rsidR="009A1148">
              <w:rPr>
                <w:rFonts w:asciiTheme="minorHAnsi" w:hAnsiTheme="minorHAnsi" w:cstheme="minorHAnsi"/>
                <w:color w:val="auto"/>
                <w:sz w:val="22"/>
              </w:rPr>
              <w:t xml:space="preserve"> </w:t>
            </w:r>
          </w:p>
        </w:tc>
      </w:tr>
      <w:tr w:rsidR="00832F67" w:rsidRPr="00B45B39" w14:paraId="7BA94F68" w14:textId="77777777" w:rsidTr="00E227E9">
        <w:tc>
          <w:tcPr>
            <w:tcW w:w="1885" w:type="dxa"/>
            <w:vAlign w:val="center"/>
          </w:tcPr>
          <w:p w14:paraId="6625C9F6" w14:textId="2F92FBF6" w:rsidR="00832F67" w:rsidRPr="00B45B39" w:rsidRDefault="00832F67" w:rsidP="009A1148">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sidR="009A1148">
              <w:rPr>
                <w:rFonts w:asciiTheme="minorHAnsi" w:hAnsiTheme="minorHAnsi" w:cstheme="minorHAnsi"/>
                <w:b/>
                <w:color w:val="auto"/>
                <w:sz w:val="22"/>
              </w:rPr>
              <w:t>22 Capability</w:t>
            </w:r>
          </w:p>
        </w:tc>
        <w:tc>
          <w:tcPr>
            <w:tcW w:w="1123" w:type="dxa"/>
            <w:shd w:val="clear" w:color="auto" w:fill="auto"/>
          </w:tcPr>
          <w:p w14:paraId="52C1BDA1" w14:textId="1CBCF0CF" w:rsidR="00832F67" w:rsidRPr="00B45B39" w:rsidRDefault="009A1148" w:rsidP="00423E4E">
            <w:pPr>
              <w:pStyle w:val="Default"/>
              <w:rPr>
                <w:rFonts w:asciiTheme="minorHAnsi" w:hAnsiTheme="minorHAnsi" w:cstheme="minorHAnsi"/>
                <w:color w:val="auto"/>
                <w:sz w:val="22"/>
              </w:rPr>
            </w:pPr>
            <w:r w:rsidRPr="00E227E9">
              <w:rPr>
                <w:rFonts w:asciiTheme="minorHAnsi" w:hAnsiTheme="minorHAnsi" w:cstheme="minorHAnsi"/>
                <w:color w:val="auto"/>
                <w:sz w:val="22"/>
              </w:rPr>
              <w:t>$</w:t>
            </w:r>
            <w:r w:rsidR="00DB36C3" w:rsidRPr="00E227E9">
              <w:rPr>
                <w:rFonts w:asciiTheme="minorHAnsi" w:hAnsiTheme="minorHAnsi" w:cstheme="minorHAnsi"/>
                <w:color w:val="auto"/>
                <w:sz w:val="22"/>
              </w:rPr>
              <w:t>350k</w:t>
            </w:r>
          </w:p>
        </w:tc>
        <w:tc>
          <w:tcPr>
            <w:tcW w:w="6342" w:type="dxa"/>
          </w:tcPr>
          <w:p w14:paraId="6D94AC77" w14:textId="7FB19CE3" w:rsidR="00832F67" w:rsidRPr="00B45B39" w:rsidRDefault="00DB36C3" w:rsidP="00B677C9">
            <w:pPr>
              <w:pStyle w:val="Default"/>
              <w:rPr>
                <w:rFonts w:asciiTheme="minorHAnsi" w:hAnsiTheme="minorHAnsi" w:cstheme="minorHAnsi"/>
                <w:color w:val="auto"/>
                <w:sz w:val="22"/>
              </w:rPr>
            </w:pPr>
            <w:r>
              <w:rPr>
                <w:rFonts w:asciiTheme="minorHAnsi" w:hAnsiTheme="minorHAnsi" w:cstheme="minorHAnsi"/>
                <w:color w:val="auto"/>
                <w:sz w:val="22"/>
              </w:rPr>
              <w:t>Complete EDR, begin DDR.</w:t>
            </w:r>
            <w:r w:rsidR="00A72E88">
              <w:rPr>
                <w:rFonts w:asciiTheme="minorHAnsi" w:hAnsiTheme="minorHAnsi" w:cstheme="minorHAnsi"/>
                <w:color w:val="auto"/>
                <w:sz w:val="22"/>
              </w:rPr>
              <w:t xml:space="preserve"> </w:t>
            </w:r>
          </w:p>
        </w:tc>
      </w:tr>
    </w:tbl>
    <w:p w14:paraId="3A48450E" w14:textId="7923DDCD" w:rsidR="0030674D" w:rsidRDefault="0030674D" w:rsidP="0032621C">
      <w:pPr>
        <w:tabs>
          <w:tab w:val="left" w:pos="360"/>
        </w:tabs>
        <w:spacing w:line="240" w:lineRule="auto"/>
        <w:rPr>
          <w:rFonts w:cstheme="minorHAnsi"/>
          <w:b/>
          <w:sz w:val="24"/>
          <w:szCs w:val="24"/>
        </w:rPr>
      </w:pPr>
    </w:p>
    <w:p w14:paraId="70010C76" w14:textId="734808F8" w:rsidR="001D2CD8" w:rsidRDefault="001D2CD8" w:rsidP="0032621C">
      <w:pPr>
        <w:tabs>
          <w:tab w:val="left" w:pos="360"/>
        </w:tabs>
        <w:spacing w:line="240" w:lineRule="auto"/>
        <w:rPr>
          <w:rFonts w:cstheme="minorHAnsi"/>
          <w:b/>
          <w:sz w:val="24"/>
          <w:szCs w:val="24"/>
        </w:rPr>
      </w:pPr>
    </w:p>
    <w:p w14:paraId="7DDB5444" w14:textId="77777777" w:rsidR="001D2CD8" w:rsidRDefault="001D2CD8" w:rsidP="001D2CD8">
      <w:pPr>
        <w:spacing w:line="240" w:lineRule="auto"/>
        <w:jc w:val="center"/>
        <w:rPr>
          <w:rFonts w:cstheme="minorHAnsi"/>
          <w:b/>
          <w:sz w:val="24"/>
          <w:szCs w:val="24"/>
        </w:rPr>
      </w:pPr>
      <w:r>
        <w:rPr>
          <w:rFonts w:cstheme="minorHAnsi"/>
          <w:b/>
          <w:sz w:val="24"/>
          <w:szCs w:val="24"/>
        </w:rPr>
        <w:br w:type="page"/>
      </w:r>
    </w:p>
    <w:p w14:paraId="3441B66E" w14:textId="69946B0A" w:rsidR="001D2CD8" w:rsidRDefault="001D2CD8" w:rsidP="001D2CD8">
      <w:pPr>
        <w:spacing w:line="240" w:lineRule="auto"/>
        <w:jc w:val="center"/>
        <w:rPr>
          <w:rFonts w:cstheme="minorHAnsi"/>
          <w:b/>
          <w:sz w:val="24"/>
          <w:szCs w:val="24"/>
        </w:rPr>
      </w:pPr>
      <w:r>
        <w:rPr>
          <w:rFonts w:cstheme="minorHAnsi"/>
          <w:b/>
          <w:sz w:val="24"/>
          <w:szCs w:val="24"/>
        </w:rPr>
        <w:lastRenderedPageBreak/>
        <w:t>Lower Columbia River Survival – P2: 156117</w:t>
      </w:r>
      <w:r>
        <w:rPr>
          <w:rFonts w:cstheme="minorHAnsi"/>
          <w:b/>
          <w:sz w:val="24"/>
          <w:szCs w:val="24"/>
        </w:rPr>
        <w:br/>
      </w:r>
    </w:p>
    <w:p w14:paraId="58007572" w14:textId="77777777" w:rsidR="001D2CD8" w:rsidRDefault="001D2CD8" w:rsidP="001D2CD8">
      <w:pPr>
        <w:spacing w:line="240" w:lineRule="auto"/>
        <w:rPr>
          <w:rFonts w:cstheme="minorHAnsi"/>
          <w:b/>
          <w:sz w:val="24"/>
          <w:szCs w:val="24"/>
        </w:rPr>
      </w:pPr>
      <w:r>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1D2CD8" w14:paraId="3F2D8B11" w14:textId="77777777" w:rsidTr="001D2CD8">
        <w:trPr>
          <w:trHeight w:val="432"/>
        </w:trPr>
        <w:tc>
          <w:tcPr>
            <w:tcW w:w="2695" w:type="dxa"/>
            <w:tcBorders>
              <w:top w:val="single" w:sz="4" w:space="0" w:color="auto"/>
              <w:left w:val="single" w:sz="4" w:space="0" w:color="auto"/>
              <w:bottom w:val="single" w:sz="4" w:space="0" w:color="auto"/>
              <w:right w:val="single" w:sz="4" w:space="0" w:color="auto"/>
            </w:tcBorders>
            <w:vAlign w:val="center"/>
            <w:hideMark/>
          </w:tcPr>
          <w:p w14:paraId="24A68E4D" w14:textId="77777777" w:rsidR="001D2CD8" w:rsidRDefault="001D2CD8">
            <w:pPr>
              <w:rPr>
                <w:rFonts w:cstheme="minorHAnsi"/>
                <w:b/>
                <w:sz w:val="24"/>
                <w:szCs w:val="24"/>
              </w:rPr>
            </w:pPr>
            <w:r>
              <w:rPr>
                <w:rFonts w:cstheme="minorHAnsi"/>
                <w:b/>
                <w:sz w:val="24"/>
                <w:szCs w:val="24"/>
              </w:rPr>
              <w:t>P2 Identifier</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4ADEB6D" w14:textId="77777777" w:rsidR="001D2CD8" w:rsidRDefault="001D2CD8">
            <w:pPr>
              <w:rPr>
                <w:rFonts w:cstheme="minorHAnsi"/>
                <w:sz w:val="24"/>
                <w:szCs w:val="24"/>
              </w:rPr>
            </w:pPr>
            <w:r>
              <w:rPr>
                <w:rFonts w:cstheme="minorHAnsi"/>
                <w:sz w:val="24"/>
                <w:szCs w:val="24"/>
              </w:rPr>
              <w:t>156117</w:t>
            </w:r>
          </w:p>
        </w:tc>
      </w:tr>
      <w:tr w:rsidR="001D2CD8" w14:paraId="3B3E6AAA" w14:textId="77777777" w:rsidTr="001D2CD8">
        <w:trPr>
          <w:trHeight w:val="432"/>
        </w:trPr>
        <w:tc>
          <w:tcPr>
            <w:tcW w:w="2695" w:type="dxa"/>
            <w:tcBorders>
              <w:top w:val="single" w:sz="4" w:space="0" w:color="auto"/>
              <w:left w:val="single" w:sz="4" w:space="0" w:color="auto"/>
              <w:bottom w:val="single" w:sz="4" w:space="0" w:color="auto"/>
              <w:right w:val="single" w:sz="4" w:space="0" w:color="auto"/>
            </w:tcBorders>
            <w:vAlign w:val="center"/>
            <w:hideMark/>
          </w:tcPr>
          <w:p w14:paraId="513CD62E" w14:textId="77777777" w:rsidR="001D2CD8" w:rsidRDefault="001D2CD8">
            <w:pPr>
              <w:rPr>
                <w:rFonts w:cstheme="minorHAnsi"/>
                <w:b/>
                <w:sz w:val="24"/>
                <w:szCs w:val="24"/>
              </w:rPr>
            </w:pPr>
            <w:r>
              <w:rPr>
                <w:rFonts w:cstheme="minorHAnsi"/>
                <w:b/>
                <w:sz w:val="24"/>
                <w:szCs w:val="24"/>
              </w:rPr>
              <w:t>Project Manager (PM)</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5F175BC" w14:textId="77777777" w:rsidR="001D2CD8" w:rsidRDefault="001D2CD8">
            <w:pPr>
              <w:rPr>
                <w:rFonts w:cstheme="minorHAnsi"/>
                <w:sz w:val="24"/>
                <w:szCs w:val="24"/>
              </w:rPr>
            </w:pPr>
            <w:r>
              <w:rPr>
                <w:rFonts w:cstheme="minorHAnsi"/>
                <w:sz w:val="24"/>
                <w:szCs w:val="24"/>
              </w:rPr>
              <w:t xml:space="preserve">Brad </w:t>
            </w:r>
            <w:proofErr w:type="gramStart"/>
            <w:r>
              <w:rPr>
                <w:rFonts w:cstheme="minorHAnsi"/>
                <w:sz w:val="24"/>
                <w:szCs w:val="24"/>
              </w:rPr>
              <w:t>Eppard  (</w:t>
            </w:r>
            <w:proofErr w:type="gramEnd"/>
            <w:r>
              <w:rPr>
                <w:rFonts w:cstheme="minorHAnsi"/>
                <w:sz w:val="24"/>
                <w:szCs w:val="24"/>
              </w:rPr>
              <w:t>NWP, 503-808-4780)</w:t>
            </w:r>
          </w:p>
        </w:tc>
      </w:tr>
      <w:tr w:rsidR="001D2CD8" w14:paraId="788B2A3B" w14:textId="77777777" w:rsidTr="001D2CD8">
        <w:trPr>
          <w:trHeight w:val="432"/>
        </w:trPr>
        <w:tc>
          <w:tcPr>
            <w:tcW w:w="2695" w:type="dxa"/>
            <w:tcBorders>
              <w:top w:val="single" w:sz="4" w:space="0" w:color="auto"/>
              <w:left w:val="single" w:sz="4" w:space="0" w:color="auto"/>
              <w:bottom w:val="single" w:sz="4" w:space="0" w:color="auto"/>
              <w:right w:val="single" w:sz="4" w:space="0" w:color="auto"/>
            </w:tcBorders>
            <w:vAlign w:val="center"/>
            <w:hideMark/>
          </w:tcPr>
          <w:p w14:paraId="648ECC87" w14:textId="77777777" w:rsidR="001D2CD8" w:rsidRDefault="001D2CD8">
            <w:pPr>
              <w:rPr>
                <w:rFonts w:cstheme="minorHAnsi"/>
                <w:b/>
                <w:sz w:val="24"/>
                <w:szCs w:val="24"/>
              </w:rPr>
            </w:pPr>
            <w:r>
              <w:rPr>
                <w:rFonts w:cstheme="minorHAnsi"/>
                <w:b/>
                <w:sz w:val="24"/>
                <w:szCs w:val="24"/>
              </w:rPr>
              <w:t>Technical Lead (TL)</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5494FE7" w14:textId="77777777" w:rsidR="001D2CD8" w:rsidRDefault="001D2CD8">
            <w:pPr>
              <w:rPr>
                <w:rFonts w:cstheme="minorHAnsi"/>
                <w:sz w:val="24"/>
                <w:szCs w:val="24"/>
              </w:rPr>
            </w:pPr>
            <w:r>
              <w:rPr>
                <w:rFonts w:cstheme="minorHAnsi"/>
                <w:sz w:val="24"/>
                <w:szCs w:val="24"/>
              </w:rPr>
              <w:t>n/a</w:t>
            </w:r>
          </w:p>
        </w:tc>
      </w:tr>
      <w:tr w:rsidR="001D2CD8" w14:paraId="291F4FD8" w14:textId="77777777" w:rsidTr="001D2CD8">
        <w:trPr>
          <w:trHeight w:val="432"/>
        </w:trPr>
        <w:tc>
          <w:tcPr>
            <w:tcW w:w="2695" w:type="dxa"/>
            <w:tcBorders>
              <w:top w:val="single" w:sz="4" w:space="0" w:color="auto"/>
              <w:left w:val="single" w:sz="4" w:space="0" w:color="auto"/>
              <w:bottom w:val="single" w:sz="4" w:space="0" w:color="auto"/>
              <w:right w:val="single" w:sz="4" w:space="0" w:color="auto"/>
            </w:tcBorders>
            <w:vAlign w:val="center"/>
            <w:hideMark/>
          </w:tcPr>
          <w:p w14:paraId="0DE0070F" w14:textId="77777777" w:rsidR="001D2CD8" w:rsidRDefault="001D2CD8">
            <w:pPr>
              <w:rPr>
                <w:rFonts w:cstheme="minorHAnsi"/>
                <w:b/>
                <w:sz w:val="24"/>
                <w:szCs w:val="24"/>
              </w:rPr>
            </w:pPr>
            <w:r>
              <w:rPr>
                <w:rFonts w:cstheme="minorHAnsi"/>
                <w:b/>
                <w:sz w:val="24"/>
                <w:szCs w:val="24"/>
              </w:rPr>
              <w:t>Biologist/Coordination</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67B7408" w14:textId="77777777" w:rsidR="001D2CD8" w:rsidRDefault="001D2CD8">
            <w:pPr>
              <w:rPr>
                <w:rFonts w:cstheme="minorHAnsi"/>
                <w:sz w:val="24"/>
                <w:szCs w:val="24"/>
              </w:rPr>
            </w:pPr>
            <w:r>
              <w:rPr>
                <w:rFonts w:cstheme="minorHAnsi"/>
                <w:sz w:val="24"/>
                <w:szCs w:val="24"/>
              </w:rPr>
              <w:t xml:space="preserve">Dave </w:t>
            </w:r>
            <w:proofErr w:type="spellStart"/>
            <w:r>
              <w:rPr>
                <w:rFonts w:cstheme="minorHAnsi"/>
                <w:sz w:val="24"/>
                <w:szCs w:val="24"/>
              </w:rPr>
              <w:t>Trachtenbarg</w:t>
            </w:r>
            <w:proofErr w:type="spellEnd"/>
            <w:r>
              <w:rPr>
                <w:rFonts w:cstheme="minorHAnsi"/>
                <w:sz w:val="24"/>
                <w:szCs w:val="24"/>
              </w:rPr>
              <w:t xml:space="preserve"> (NWP, 503-808-4709)</w:t>
            </w:r>
          </w:p>
        </w:tc>
      </w:tr>
    </w:tbl>
    <w:p w14:paraId="3146CB64" w14:textId="77777777" w:rsidR="001D2CD8" w:rsidRDefault="001D2CD8" w:rsidP="001D2CD8">
      <w:pPr>
        <w:spacing w:line="240" w:lineRule="auto"/>
        <w:rPr>
          <w:rFonts w:cstheme="minorHAnsi"/>
          <w:b/>
          <w:sz w:val="24"/>
          <w:szCs w:val="24"/>
        </w:rPr>
      </w:pPr>
    </w:p>
    <w:p w14:paraId="03F57E78" w14:textId="77777777" w:rsidR="001D2CD8" w:rsidRDefault="001D2CD8" w:rsidP="001D2CD8">
      <w:pPr>
        <w:pStyle w:val="Default"/>
        <w:rPr>
          <w:rFonts w:asciiTheme="minorHAnsi" w:hAnsiTheme="minorHAnsi" w:cstheme="minorHAnsi"/>
          <w:lang w:val="en"/>
        </w:rPr>
      </w:pPr>
      <w:r>
        <w:rPr>
          <w:rFonts w:asciiTheme="minorHAnsi" w:hAnsiTheme="minorHAnsi" w:cstheme="minorHAnsi"/>
        </w:rPr>
        <w:t xml:space="preserve">The purpose of this project is estimate system wide survival for PIT-tagged juvenile Chinook salmon and steelhead, defined as Lower Granite Dam to Bonneville Dam. </w:t>
      </w:r>
      <w:r>
        <w:rPr>
          <w:rFonts w:asciiTheme="minorHAnsi" w:hAnsiTheme="minorHAnsi" w:cstheme="minorHAnsi"/>
          <w:lang w:val="en"/>
        </w:rPr>
        <w:t xml:space="preserve">Operation of the PIT-trawl is required as the last detection point allowing survival estimation in the Lower Columbia River to Bonneville Dam.  </w:t>
      </w:r>
    </w:p>
    <w:p w14:paraId="7C016B7A" w14:textId="77777777" w:rsidR="001D2CD8" w:rsidRDefault="001D2CD8" w:rsidP="001D2CD8">
      <w:pPr>
        <w:pStyle w:val="Default"/>
        <w:rPr>
          <w:rFonts w:asciiTheme="minorHAnsi" w:hAnsiTheme="minorHAnsi" w:cstheme="minorHAnsi"/>
          <w:lang w:val="en"/>
        </w:rPr>
      </w:pPr>
    </w:p>
    <w:p w14:paraId="5D8515C3" w14:textId="77777777" w:rsidR="001D2CD8" w:rsidRDefault="001D2CD8" w:rsidP="001D2CD8">
      <w:pPr>
        <w:pStyle w:val="Default"/>
        <w:rPr>
          <w:rFonts w:asciiTheme="minorHAnsi" w:hAnsiTheme="minorHAnsi" w:cstheme="minorHAnsi"/>
          <w:color w:val="auto"/>
        </w:rPr>
      </w:pPr>
      <w:r>
        <w:rPr>
          <w:rFonts w:asciiTheme="minorHAnsi" w:hAnsiTheme="minorHAnsi" w:cstheme="minorHAnsi"/>
          <w:lang w:val="en"/>
        </w:rPr>
        <w:t xml:space="preserve">System survival is a performance metric identified in the Proposed Action for the 2020 NMFS Biological Opinions for the Columbia River System.  </w:t>
      </w:r>
      <w:r>
        <w:rPr>
          <w:rFonts w:asciiTheme="minorHAnsi" w:hAnsiTheme="minorHAnsi" w:cstheme="minorHAnsi"/>
        </w:rPr>
        <w:t xml:space="preserve">Funding for this project is shared between the Bonneville Power Administration and the U.S. Army Corps of Engineers.  </w:t>
      </w:r>
    </w:p>
    <w:p w14:paraId="55A0D027" w14:textId="77777777" w:rsidR="001D2CD8" w:rsidRDefault="001D2CD8" w:rsidP="001D2CD8">
      <w:pPr>
        <w:autoSpaceDE w:val="0"/>
        <w:autoSpaceDN w:val="0"/>
        <w:adjustRightInd w:val="0"/>
        <w:spacing w:after="0" w:line="240" w:lineRule="auto"/>
        <w:rPr>
          <w:rFonts w:cstheme="minorHAnsi"/>
          <w:color w:val="000000"/>
          <w:sz w:val="24"/>
          <w:szCs w:val="24"/>
          <w:lang w:val="en"/>
        </w:rPr>
      </w:pPr>
    </w:p>
    <w:p w14:paraId="155E3ABE" w14:textId="77777777" w:rsidR="001D2CD8" w:rsidRDefault="001D2CD8" w:rsidP="001D2CD8">
      <w:pPr>
        <w:autoSpaceDE w:val="0"/>
        <w:autoSpaceDN w:val="0"/>
        <w:adjustRightInd w:val="0"/>
        <w:spacing w:after="0" w:line="240" w:lineRule="auto"/>
        <w:rPr>
          <w:rFonts w:cstheme="minorHAnsi"/>
          <w:color w:val="000000"/>
          <w:sz w:val="24"/>
          <w:szCs w:val="24"/>
          <w:lang w:val="en"/>
        </w:rPr>
      </w:pPr>
      <w:r>
        <w:rPr>
          <w:rFonts w:cstheme="minorHAnsi"/>
          <w:color w:val="000000"/>
          <w:sz w:val="24"/>
          <w:szCs w:val="24"/>
          <w:lang w:val="en"/>
        </w:rPr>
        <w:t xml:space="preserve">The PIT-trawl is a towed array operated in the Columbia River estuary.  Two vessels tow a long net (~800 ft) to guide fish into a </w:t>
      </w:r>
      <w:proofErr w:type="spellStart"/>
      <w:r>
        <w:rPr>
          <w:rFonts w:cstheme="minorHAnsi"/>
          <w:color w:val="000000"/>
          <w:sz w:val="24"/>
          <w:szCs w:val="24"/>
          <w:lang w:val="en"/>
        </w:rPr>
        <w:t>fyke</w:t>
      </w:r>
      <w:proofErr w:type="spellEnd"/>
      <w:r>
        <w:rPr>
          <w:rFonts w:cstheme="minorHAnsi"/>
          <w:color w:val="000000"/>
          <w:sz w:val="24"/>
          <w:szCs w:val="24"/>
          <w:lang w:val="en"/>
        </w:rPr>
        <w:t xml:space="preserve"> net and through a PIT-tag detector at the distal end.  A third vessel houses the detector.  PIT-tag detections are collected and uploaded to the PIT-tag database operated by the Pacific States Marine Fisheries Commission.  The PIT-trawl is operated from April through July and pre- and post-season maintenance of the vessels, nets, and PIT-tag equipment occurs over the winter months.    </w:t>
      </w:r>
    </w:p>
    <w:p w14:paraId="5B0044F1" w14:textId="77777777" w:rsidR="001D2CD8" w:rsidRDefault="001D2CD8" w:rsidP="001D2CD8">
      <w:pPr>
        <w:pStyle w:val="Default"/>
        <w:rPr>
          <w:rFonts w:asciiTheme="minorHAnsi" w:hAnsiTheme="minorHAnsi" w:cstheme="minorHAnsi"/>
          <w:color w:val="auto"/>
        </w:rPr>
      </w:pPr>
    </w:p>
    <w:p w14:paraId="3461BB0D" w14:textId="77777777" w:rsidR="001D2CD8" w:rsidRDefault="001D2CD8" w:rsidP="001D2CD8">
      <w:pPr>
        <w:pStyle w:val="Default"/>
        <w:rPr>
          <w:rFonts w:asciiTheme="minorHAnsi" w:hAnsiTheme="minorHAnsi" w:cstheme="minorHAnsi"/>
          <w:color w:val="auto"/>
        </w:rPr>
      </w:pPr>
    </w:p>
    <w:p w14:paraId="2451B1F9" w14:textId="77777777" w:rsidR="001D2CD8" w:rsidRDefault="001D2CD8" w:rsidP="001D2CD8">
      <w:pPr>
        <w:pStyle w:val="Default"/>
        <w:rPr>
          <w:rFonts w:asciiTheme="minorHAnsi" w:hAnsiTheme="minorHAnsi" w:cstheme="minorHAnsi"/>
          <w:b/>
          <w:color w:val="auto"/>
        </w:rPr>
      </w:pPr>
      <w:r>
        <w:rPr>
          <w:rFonts w:asciiTheme="minorHAnsi" w:hAnsiTheme="minorHAnsi" w:cstheme="minorHAnsi"/>
          <w:b/>
          <w:color w:val="auto"/>
        </w:rPr>
        <w:t>SCHEDULE &amp; COST</w:t>
      </w:r>
    </w:p>
    <w:p w14:paraId="6D256589" w14:textId="77777777" w:rsidR="001D2CD8" w:rsidRDefault="001D2CD8" w:rsidP="001D2CD8">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975"/>
        <w:gridCol w:w="1033"/>
        <w:gridCol w:w="6342"/>
      </w:tblGrid>
      <w:tr w:rsidR="001D2CD8" w14:paraId="49C94F2F"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hideMark/>
          </w:tcPr>
          <w:p w14:paraId="4EB52EEE" w14:textId="77777777" w:rsidR="001D2CD8" w:rsidRDefault="001D2CD8">
            <w:pPr>
              <w:pStyle w:val="Default"/>
              <w:jc w:val="center"/>
              <w:rPr>
                <w:rFonts w:asciiTheme="minorHAnsi" w:hAnsiTheme="minorHAnsi" w:cstheme="minorHAnsi"/>
                <w:b/>
                <w:color w:val="auto"/>
              </w:rPr>
            </w:pPr>
            <w:r>
              <w:rPr>
                <w:rFonts w:asciiTheme="minorHAnsi" w:hAnsiTheme="minorHAnsi" w:cstheme="minorHAnsi"/>
                <w:b/>
                <w:color w:val="auto"/>
              </w:rPr>
              <w:t>YEAR</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7D64B89" w14:textId="77777777" w:rsidR="001D2CD8" w:rsidRDefault="001D2CD8">
            <w:pPr>
              <w:pStyle w:val="Default"/>
              <w:jc w:val="center"/>
              <w:rPr>
                <w:rFonts w:asciiTheme="minorHAnsi" w:hAnsiTheme="minorHAnsi" w:cstheme="minorHAnsi"/>
                <w:b/>
                <w:color w:val="auto"/>
              </w:rPr>
            </w:pPr>
            <w:r>
              <w:rPr>
                <w:rFonts w:asciiTheme="minorHAnsi" w:hAnsiTheme="minorHAnsi" w:cstheme="minorHAnsi"/>
                <w:b/>
                <w:color w:val="auto"/>
              </w:rPr>
              <w:t>COST</w:t>
            </w:r>
          </w:p>
        </w:tc>
        <w:tc>
          <w:tcPr>
            <w:tcW w:w="6342" w:type="dxa"/>
            <w:tcBorders>
              <w:top w:val="single" w:sz="4" w:space="0" w:color="auto"/>
              <w:left w:val="single" w:sz="4" w:space="0" w:color="auto"/>
              <w:bottom w:val="single" w:sz="4" w:space="0" w:color="auto"/>
              <w:right w:val="single" w:sz="4" w:space="0" w:color="auto"/>
            </w:tcBorders>
            <w:vAlign w:val="center"/>
            <w:hideMark/>
          </w:tcPr>
          <w:p w14:paraId="131C8FE7" w14:textId="77777777" w:rsidR="001D2CD8" w:rsidRDefault="001D2CD8">
            <w:pPr>
              <w:pStyle w:val="Default"/>
              <w:jc w:val="center"/>
              <w:rPr>
                <w:rFonts w:asciiTheme="minorHAnsi" w:hAnsiTheme="minorHAnsi" w:cstheme="minorHAnsi"/>
                <w:b/>
                <w:color w:val="auto"/>
              </w:rPr>
            </w:pPr>
            <w:r>
              <w:rPr>
                <w:rFonts w:asciiTheme="minorHAnsi" w:hAnsiTheme="minorHAnsi" w:cstheme="minorHAnsi"/>
                <w:b/>
                <w:color w:val="auto"/>
              </w:rPr>
              <w:t>MAJOR ACTIVITIES</w:t>
            </w:r>
          </w:p>
        </w:tc>
      </w:tr>
      <w:tr w:rsidR="001D2CD8" w14:paraId="49C2ED4A"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hideMark/>
          </w:tcPr>
          <w:p w14:paraId="4AEF95BD" w14:textId="77777777" w:rsidR="001D2CD8" w:rsidRDefault="001D2CD8">
            <w:pPr>
              <w:pStyle w:val="Default"/>
              <w:jc w:val="center"/>
              <w:rPr>
                <w:rFonts w:asciiTheme="minorHAnsi" w:hAnsiTheme="minorHAnsi" w:cstheme="minorHAnsi"/>
                <w:b/>
                <w:color w:val="auto"/>
              </w:rPr>
            </w:pPr>
            <w:r>
              <w:rPr>
                <w:rFonts w:asciiTheme="minorHAnsi" w:hAnsiTheme="minorHAnsi" w:cstheme="minorHAnsi"/>
                <w:b/>
                <w:color w:val="auto"/>
              </w:rPr>
              <w:t>FY21 Est. Actual Obligation</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450616E" w14:textId="00C73E0C" w:rsidR="001D2CD8" w:rsidRDefault="001D2CD8">
            <w:pPr>
              <w:pStyle w:val="Default"/>
              <w:jc w:val="center"/>
              <w:rPr>
                <w:rFonts w:asciiTheme="minorHAnsi" w:hAnsiTheme="minorHAnsi" w:cstheme="minorHAnsi"/>
                <w:color w:val="auto"/>
              </w:rPr>
            </w:pPr>
            <w:r>
              <w:rPr>
                <w:rFonts w:asciiTheme="minorHAnsi" w:hAnsiTheme="minorHAnsi" w:cstheme="minorHAnsi"/>
                <w:color w:val="auto"/>
              </w:rPr>
              <w:t>$1.9M</w:t>
            </w:r>
          </w:p>
        </w:tc>
        <w:tc>
          <w:tcPr>
            <w:tcW w:w="6342" w:type="dxa"/>
            <w:tcBorders>
              <w:top w:val="single" w:sz="4" w:space="0" w:color="auto"/>
              <w:left w:val="single" w:sz="4" w:space="0" w:color="auto"/>
              <w:bottom w:val="single" w:sz="4" w:space="0" w:color="auto"/>
              <w:right w:val="single" w:sz="4" w:space="0" w:color="auto"/>
            </w:tcBorders>
            <w:vAlign w:val="center"/>
            <w:hideMark/>
          </w:tcPr>
          <w:p w14:paraId="7AB696C5" w14:textId="623CBBA6" w:rsidR="001D2CD8" w:rsidRDefault="001D2CD8">
            <w:pPr>
              <w:pStyle w:val="Default"/>
              <w:jc w:val="center"/>
              <w:rPr>
                <w:rFonts w:asciiTheme="minorHAnsi" w:hAnsiTheme="minorHAnsi" w:cstheme="minorHAnsi"/>
                <w:color w:val="auto"/>
              </w:rPr>
            </w:pPr>
            <w:r>
              <w:rPr>
                <w:rFonts w:asciiTheme="minorHAnsi" w:hAnsiTheme="minorHAnsi" w:cstheme="minorHAnsi"/>
                <w:color w:val="auto"/>
              </w:rPr>
              <w:t>Operation and maintenance of the NWFSC PIT-Trawl for 2021 (COVID operations) and 2022</w:t>
            </w:r>
            <w:r>
              <w:rPr>
                <w:rFonts w:asciiTheme="minorHAnsi" w:hAnsiTheme="minorHAnsi" w:cstheme="minorHAnsi"/>
                <w:color w:val="auto"/>
              </w:rPr>
              <w:t>.</w:t>
            </w:r>
          </w:p>
        </w:tc>
      </w:tr>
      <w:tr w:rsidR="001D2CD8" w14:paraId="60FE9308" w14:textId="77777777" w:rsidTr="001D2CD8">
        <w:trPr>
          <w:trHeight w:val="576"/>
        </w:trPr>
        <w:tc>
          <w:tcPr>
            <w:tcW w:w="1975" w:type="dxa"/>
            <w:tcBorders>
              <w:top w:val="single" w:sz="4" w:space="0" w:color="auto"/>
              <w:left w:val="single" w:sz="4" w:space="0" w:color="auto"/>
              <w:bottom w:val="single" w:sz="4" w:space="0" w:color="auto"/>
              <w:right w:val="single" w:sz="4" w:space="0" w:color="auto"/>
            </w:tcBorders>
            <w:vAlign w:val="center"/>
            <w:hideMark/>
          </w:tcPr>
          <w:p w14:paraId="5616151C" w14:textId="77777777" w:rsidR="001D2CD8" w:rsidRDefault="001D2CD8">
            <w:pPr>
              <w:pStyle w:val="Default"/>
              <w:jc w:val="center"/>
              <w:rPr>
                <w:rFonts w:asciiTheme="minorHAnsi" w:hAnsiTheme="minorHAnsi" w:cstheme="minorHAnsi"/>
                <w:b/>
                <w:color w:val="auto"/>
              </w:rPr>
            </w:pPr>
            <w:r>
              <w:rPr>
                <w:rFonts w:asciiTheme="minorHAnsi" w:hAnsiTheme="minorHAnsi" w:cstheme="minorHAnsi"/>
                <w:b/>
                <w:color w:val="auto"/>
              </w:rPr>
              <w:t>FY22</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834BC39" w14:textId="2E20D658" w:rsidR="001D2CD8" w:rsidRDefault="001D2CD8">
            <w:pPr>
              <w:pStyle w:val="Default"/>
              <w:jc w:val="center"/>
              <w:rPr>
                <w:rFonts w:asciiTheme="minorHAnsi" w:hAnsiTheme="minorHAnsi" w:cstheme="minorHAnsi"/>
                <w:color w:val="auto"/>
              </w:rPr>
            </w:pPr>
            <w:r>
              <w:rPr>
                <w:rFonts w:asciiTheme="minorHAnsi" w:hAnsiTheme="minorHAnsi" w:cstheme="minorHAnsi"/>
                <w:color w:val="auto"/>
              </w:rPr>
              <w:t>$1.5M</w:t>
            </w:r>
          </w:p>
        </w:tc>
        <w:tc>
          <w:tcPr>
            <w:tcW w:w="6342" w:type="dxa"/>
            <w:tcBorders>
              <w:top w:val="single" w:sz="4" w:space="0" w:color="auto"/>
              <w:left w:val="single" w:sz="4" w:space="0" w:color="auto"/>
              <w:bottom w:val="single" w:sz="4" w:space="0" w:color="auto"/>
              <w:right w:val="single" w:sz="4" w:space="0" w:color="auto"/>
            </w:tcBorders>
            <w:vAlign w:val="center"/>
            <w:hideMark/>
          </w:tcPr>
          <w:p w14:paraId="0A25A383" w14:textId="77777777" w:rsidR="001D2CD8" w:rsidRDefault="001D2CD8">
            <w:pPr>
              <w:pStyle w:val="Default"/>
              <w:jc w:val="center"/>
              <w:rPr>
                <w:rFonts w:asciiTheme="minorHAnsi" w:hAnsiTheme="minorHAnsi" w:cstheme="minorHAnsi"/>
                <w:color w:val="auto"/>
              </w:rPr>
            </w:pPr>
            <w:r>
              <w:rPr>
                <w:rFonts w:asciiTheme="minorHAnsi" w:hAnsiTheme="minorHAnsi" w:cstheme="minorHAnsi"/>
                <w:color w:val="auto"/>
              </w:rPr>
              <w:t>Operation and maintenance of the NWFSC PIT-Trawl; field work in summer 2023.</w:t>
            </w:r>
          </w:p>
        </w:tc>
      </w:tr>
    </w:tbl>
    <w:p w14:paraId="215B8DD3" w14:textId="77777777" w:rsidR="001D2CD8" w:rsidRDefault="001D2CD8" w:rsidP="001D2CD8">
      <w:pPr>
        <w:tabs>
          <w:tab w:val="left" w:pos="360"/>
        </w:tabs>
        <w:spacing w:line="240" w:lineRule="auto"/>
        <w:rPr>
          <w:rFonts w:cstheme="minorHAnsi"/>
          <w:b/>
          <w:sz w:val="24"/>
          <w:szCs w:val="24"/>
        </w:rPr>
      </w:pPr>
    </w:p>
    <w:p w14:paraId="2D8D06E9" w14:textId="4EF7AE63" w:rsidR="001D2CD8" w:rsidRDefault="001D2CD8" w:rsidP="0032621C">
      <w:pPr>
        <w:tabs>
          <w:tab w:val="left" w:pos="360"/>
        </w:tabs>
        <w:spacing w:line="240" w:lineRule="auto"/>
        <w:rPr>
          <w:rFonts w:cstheme="minorHAnsi"/>
          <w:b/>
          <w:sz w:val="24"/>
          <w:szCs w:val="24"/>
        </w:rPr>
      </w:pPr>
    </w:p>
    <w:p w14:paraId="79131C74" w14:textId="77777777" w:rsidR="0069067E" w:rsidRDefault="0069067E" w:rsidP="0069067E">
      <w:pPr>
        <w:spacing w:line="240" w:lineRule="auto"/>
        <w:jc w:val="center"/>
        <w:rPr>
          <w:rFonts w:cstheme="minorHAnsi"/>
          <w:b/>
          <w:sz w:val="24"/>
          <w:szCs w:val="24"/>
        </w:rPr>
      </w:pPr>
      <w:r>
        <w:rPr>
          <w:rFonts w:cstheme="minorHAnsi"/>
          <w:b/>
          <w:sz w:val="24"/>
          <w:szCs w:val="24"/>
        </w:rPr>
        <w:br w:type="page"/>
      </w:r>
    </w:p>
    <w:p w14:paraId="6D0AC762" w14:textId="6AE89E70" w:rsidR="0069067E" w:rsidRPr="00B45B39" w:rsidRDefault="0069067E" w:rsidP="0069067E">
      <w:pPr>
        <w:spacing w:line="240" w:lineRule="auto"/>
        <w:jc w:val="center"/>
        <w:rPr>
          <w:rFonts w:cstheme="minorHAnsi"/>
          <w:b/>
          <w:szCs w:val="24"/>
        </w:rPr>
      </w:pPr>
      <w:r w:rsidRPr="00B45B39">
        <w:rPr>
          <w:rFonts w:cstheme="minorHAnsi"/>
          <w:b/>
          <w:sz w:val="24"/>
          <w:szCs w:val="24"/>
        </w:rPr>
        <w:lastRenderedPageBreak/>
        <w:t xml:space="preserve">Bonneville Powerhouse </w:t>
      </w:r>
      <w:r>
        <w:rPr>
          <w:rFonts w:cstheme="minorHAnsi"/>
          <w:b/>
          <w:sz w:val="24"/>
          <w:szCs w:val="24"/>
        </w:rPr>
        <w:t xml:space="preserve">2 </w:t>
      </w:r>
      <w:r w:rsidRPr="00B45B39">
        <w:rPr>
          <w:rFonts w:cstheme="minorHAnsi"/>
          <w:b/>
          <w:sz w:val="24"/>
          <w:szCs w:val="24"/>
        </w:rPr>
        <w:t>Fish Guidance Efficiency</w:t>
      </w:r>
      <w:r>
        <w:rPr>
          <w:rFonts w:cstheme="minorHAnsi"/>
          <w:b/>
          <w:sz w:val="24"/>
          <w:szCs w:val="24"/>
        </w:rPr>
        <w:t xml:space="preserve"> (B2FGE)</w:t>
      </w:r>
      <w:r w:rsidRPr="00B45B39">
        <w:rPr>
          <w:rFonts w:cstheme="minorHAnsi"/>
          <w:b/>
          <w:sz w:val="24"/>
          <w:szCs w:val="24"/>
        </w:rPr>
        <w:t xml:space="preserve"> – P2: 122645</w:t>
      </w:r>
      <w:r w:rsidRPr="00B45B39">
        <w:rPr>
          <w:rFonts w:cstheme="minorHAnsi"/>
          <w:b/>
          <w:szCs w:val="24"/>
        </w:rPr>
        <w:br/>
      </w:r>
    </w:p>
    <w:p w14:paraId="518FF9AE" w14:textId="77777777" w:rsidR="0069067E" w:rsidRPr="00B45B39" w:rsidRDefault="0069067E" w:rsidP="0069067E">
      <w:pPr>
        <w:spacing w:line="240" w:lineRule="auto"/>
        <w:rPr>
          <w:rFonts w:cstheme="minorHAnsi"/>
          <w:b/>
          <w:sz w:val="24"/>
          <w:szCs w:val="24"/>
        </w:rPr>
      </w:pPr>
      <w:r w:rsidRPr="00B45B39">
        <w:rPr>
          <w:rFonts w:cstheme="minorHAnsi"/>
          <w:b/>
          <w:sz w:val="24"/>
          <w:szCs w:val="24"/>
        </w:rPr>
        <w:t>PROJECT INFORMATION</w:t>
      </w:r>
    </w:p>
    <w:tbl>
      <w:tblPr>
        <w:tblStyle w:val="TableGrid"/>
        <w:tblW w:w="0" w:type="auto"/>
        <w:tblLook w:val="04A0" w:firstRow="1" w:lastRow="0" w:firstColumn="1" w:lastColumn="0" w:noHBand="0" w:noVBand="1"/>
      </w:tblPr>
      <w:tblGrid>
        <w:gridCol w:w="2695"/>
        <w:gridCol w:w="6655"/>
      </w:tblGrid>
      <w:tr w:rsidR="0069067E" w:rsidRPr="00B45B39" w14:paraId="183F5E96" w14:textId="77777777" w:rsidTr="009A3A83">
        <w:trPr>
          <w:trHeight w:val="432"/>
        </w:trPr>
        <w:tc>
          <w:tcPr>
            <w:tcW w:w="2695" w:type="dxa"/>
            <w:vAlign w:val="center"/>
          </w:tcPr>
          <w:p w14:paraId="1B6A6473" w14:textId="77777777" w:rsidR="0069067E" w:rsidRPr="00B45B39" w:rsidRDefault="0069067E" w:rsidP="009A3A83">
            <w:pPr>
              <w:rPr>
                <w:rFonts w:cstheme="minorHAnsi"/>
                <w:b/>
                <w:szCs w:val="24"/>
              </w:rPr>
            </w:pPr>
            <w:r w:rsidRPr="00B45B39">
              <w:rPr>
                <w:rFonts w:cstheme="minorHAnsi"/>
                <w:b/>
                <w:szCs w:val="24"/>
              </w:rPr>
              <w:t>P2 Identifier</w:t>
            </w:r>
          </w:p>
        </w:tc>
        <w:tc>
          <w:tcPr>
            <w:tcW w:w="6655" w:type="dxa"/>
            <w:vAlign w:val="center"/>
          </w:tcPr>
          <w:p w14:paraId="5B9C5A41" w14:textId="77777777" w:rsidR="0069067E" w:rsidRPr="00B45B39" w:rsidRDefault="0069067E" w:rsidP="009A3A83">
            <w:pPr>
              <w:rPr>
                <w:rFonts w:cstheme="minorHAnsi"/>
                <w:szCs w:val="24"/>
              </w:rPr>
            </w:pPr>
            <w:r w:rsidRPr="00B45B39">
              <w:rPr>
                <w:rFonts w:cstheme="minorHAnsi"/>
                <w:szCs w:val="24"/>
              </w:rPr>
              <w:t>122645</w:t>
            </w:r>
          </w:p>
        </w:tc>
      </w:tr>
      <w:tr w:rsidR="0069067E" w:rsidRPr="00B45B39" w14:paraId="5D78A40B" w14:textId="77777777" w:rsidTr="009A3A83">
        <w:trPr>
          <w:trHeight w:val="432"/>
        </w:trPr>
        <w:tc>
          <w:tcPr>
            <w:tcW w:w="2695" w:type="dxa"/>
            <w:vAlign w:val="center"/>
          </w:tcPr>
          <w:p w14:paraId="521C5457" w14:textId="77777777" w:rsidR="0069067E" w:rsidRPr="00B45B39" w:rsidRDefault="0069067E" w:rsidP="009A3A83">
            <w:pPr>
              <w:rPr>
                <w:rFonts w:cstheme="minorHAnsi"/>
                <w:b/>
                <w:szCs w:val="24"/>
              </w:rPr>
            </w:pPr>
            <w:r w:rsidRPr="00B45B39">
              <w:rPr>
                <w:rFonts w:cstheme="minorHAnsi"/>
                <w:b/>
                <w:szCs w:val="24"/>
              </w:rPr>
              <w:t>Project Manager (PM)</w:t>
            </w:r>
          </w:p>
        </w:tc>
        <w:tc>
          <w:tcPr>
            <w:tcW w:w="6655" w:type="dxa"/>
            <w:vAlign w:val="center"/>
          </w:tcPr>
          <w:p w14:paraId="23DC821F" w14:textId="77777777" w:rsidR="0069067E" w:rsidRPr="00B45B39" w:rsidRDefault="0069067E" w:rsidP="009A3A83">
            <w:pPr>
              <w:rPr>
                <w:rFonts w:cstheme="minorHAnsi"/>
                <w:szCs w:val="24"/>
              </w:rPr>
            </w:pPr>
            <w:r>
              <w:rPr>
                <w:rFonts w:cstheme="minorHAnsi"/>
                <w:szCs w:val="24"/>
              </w:rPr>
              <w:t xml:space="preserve">Jim </w:t>
            </w:r>
            <w:proofErr w:type="gramStart"/>
            <w:r>
              <w:rPr>
                <w:rFonts w:cstheme="minorHAnsi"/>
                <w:szCs w:val="24"/>
              </w:rPr>
              <w:t xml:space="preserve">Adams </w:t>
            </w:r>
            <w:r w:rsidRPr="00B45B39">
              <w:rPr>
                <w:rFonts w:cstheme="minorHAnsi"/>
                <w:szCs w:val="24"/>
              </w:rPr>
              <w:t xml:space="preserve"> (</w:t>
            </w:r>
            <w:proofErr w:type="gramEnd"/>
            <w:r w:rsidRPr="00B45B39">
              <w:rPr>
                <w:rFonts w:cstheme="minorHAnsi"/>
                <w:szCs w:val="24"/>
              </w:rPr>
              <w:t>NWP, 503-808-47</w:t>
            </w:r>
            <w:r>
              <w:rPr>
                <w:rFonts w:cstheme="minorHAnsi"/>
                <w:szCs w:val="24"/>
              </w:rPr>
              <w:t>42</w:t>
            </w:r>
            <w:r w:rsidRPr="00B45B39">
              <w:rPr>
                <w:rFonts w:cstheme="minorHAnsi"/>
                <w:szCs w:val="24"/>
              </w:rPr>
              <w:t>)</w:t>
            </w:r>
          </w:p>
        </w:tc>
      </w:tr>
      <w:tr w:rsidR="0069067E" w:rsidRPr="00B45B39" w14:paraId="23CF2022" w14:textId="77777777" w:rsidTr="009A3A83">
        <w:trPr>
          <w:trHeight w:val="432"/>
        </w:trPr>
        <w:tc>
          <w:tcPr>
            <w:tcW w:w="2695" w:type="dxa"/>
            <w:vAlign w:val="center"/>
          </w:tcPr>
          <w:p w14:paraId="783A3074" w14:textId="77777777" w:rsidR="0069067E" w:rsidRPr="00B45B39" w:rsidRDefault="0069067E" w:rsidP="009A3A83">
            <w:pPr>
              <w:rPr>
                <w:rFonts w:cstheme="minorHAnsi"/>
                <w:b/>
                <w:szCs w:val="24"/>
              </w:rPr>
            </w:pPr>
            <w:r w:rsidRPr="00B45B39">
              <w:rPr>
                <w:rFonts w:cstheme="minorHAnsi"/>
                <w:b/>
                <w:szCs w:val="24"/>
              </w:rPr>
              <w:t>Technical Lead (TL)</w:t>
            </w:r>
          </w:p>
        </w:tc>
        <w:tc>
          <w:tcPr>
            <w:tcW w:w="6655" w:type="dxa"/>
            <w:vAlign w:val="center"/>
          </w:tcPr>
          <w:p w14:paraId="6B61D902" w14:textId="77777777" w:rsidR="0069067E" w:rsidRPr="00B45B39" w:rsidRDefault="0069067E" w:rsidP="009A3A83">
            <w:pPr>
              <w:rPr>
                <w:rFonts w:cstheme="minorHAnsi"/>
                <w:szCs w:val="24"/>
              </w:rPr>
            </w:pPr>
            <w:r>
              <w:rPr>
                <w:rFonts w:cstheme="minorHAnsi"/>
                <w:szCs w:val="24"/>
              </w:rPr>
              <w:t xml:space="preserve">Bridget </w:t>
            </w:r>
            <w:proofErr w:type="gramStart"/>
            <w:r>
              <w:rPr>
                <w:rFonts w:cstheme="minorHAnsi"/>
                <w:szCs w:val="24"/>
              </w:rPr>
              <w:t>Bell</w:t>
            </w:r>
            <w:r w:rsidRPr="00B45B39">
              <w:rPr>
                <w:rFonts w:cstheme="minorHAnsi"/>
                <w:szCs w:val="24"/>
              </w:rPr>
              <w:t xml:space="preserve">  (</w:t>
            </w:r>
            <w:proofErr w:type="gramEnd"/>
            <w:r w:rsidRPr="00B45B39">
              <w:rPr>
                <w:rFonts w:cstheme="minorHAnsi"/>
                <w:szCs w:val="24"/>
              </w:rPr>
              <w:t>NWP, 503-808-</w:t>
            </w:r>
            <w:r>
              <w:rPr>
                <w:rFonts w:cstheme="minorHAnsi"/>
                <w:szCs w:val="24"/>
              </w:rPr>
              <w:t>5106)</w:t>
            </w:r>
          </w:p>
        </w:tc>
      </w:tr>
      <w:tr w:rsidR="0069067E" w:rsidRPr="00B45B39" w14:paraId="1A03BA47" w14:textId="77777777" w:rsidTr="009A3A83">
        <w:trPr>
          <w:trHeight w:val="432"/>
        </w:trPr>
        <w:tc>
          <w:tcPr>
            <w:tcW w:w="2695" w:type="dxa"/>
            <w:vAlign w:val="center"/>
          </w:tcPr>
          <w:p w14:paraId="5C107C4F" w14:textId="77777777" w:rsidR="0069067E" w:rsidRPr="00B45B39" w:rsidRDefault="0069067E" w:rsidP="009A3A83">
            <w:pPr>
              <w:rPr>
                <w:rFonts w:cstheme="minorHAnsi"/>
                <w:b/>
                <w:szCs w:val="24"/>
              </w:rPr>
            </w:pPr>
            <w:r w:rsidRPr="00B45B39">
              <w:rPr>
                <w:rFonts w:cstheme="minorHAnsi"/>
                <w:b/>
                <w:szCs w:val="24"/>
              </w:rPr>
              <w:t>Biologist/Coordination</w:t>
            </w:r>
          </w:p>
        </w:tc>
        <w:tc>
          <w:tcPr>
            <w:tcW w:w="6655" w:type="dxa"/>
            <w:vAlign w:val="center"/>
          </w:tcPr>
          <w:p w14:paraId="7F7DD93B" w14:textId="77777777" w:rsidR="0069067E" w:rsidRPr="00B45B39" w:rsidRDefault="0069067E" w:rsidP="009A3A83">
            <w:pPr>
              <w:rPr>
                <w:rFonts w:cstheme="minorHAnsi"/>
                <w:szCs w:val="24"/>
              </w:rPr>
            </w:pPr>
            <w:r w:rsidRPr="00B45B39">
              <w:rPr>
                <w:rFonts w:cstheme="minorHAnsi"/>
                <w:szCs w:val="24"/>
              </w:rPr>
              <w:t>John Rerecich (NWP, 503-808-4844)</w:t>
            </w:r>
          </w:p>
        </w:tc>
      </w:tr>
    </w:tbl>
    <w:p w14:paraId="1C0DE36D" w14:textId="77777777" w:rsidR="0069067E" w:rsidRPr="00B45B39" w:rsidRDefault="0069067E" w:rsidP="0069067E">
      <w:pPr>
        <w:spacing w:line="240" w:lineRule="auto"/>
        <w:rPr>
          <w:rFonts w:cstheme="minorHAnsi"/>
          <w:b/>
          <w:sz w:val="24"/>
          <w:szCs w:val="24"/>
        </w:rPr>
      </w:pPr>
    </w:p>
    <w:p w14:paraId="5BDA97D3" w14:textId="77777777" w:rsidR="0069067E" w:rsidRDefault="0069067E" w:rsidP="0069067E">
      <w:pPr>
        <w:rPr>
          <w:rFonts w:cstheme="minorHAnsi"/>
        </w:rPr>
      </w:pPr>
      <w:r w:rsidRPr="00B45B39">
        <w:rPr>
          <w:rFonts w:cstheme="minorHAnsi"/>
        </w:rPr>
        <w:t>The purpose of this project is to improve fish passage survival through the gate wells through Bonneville’s second powerhouse</w:t>
      </w:r>
      <w:r>
        <w:rPr>
          <w:rFonts w:cstheme="minorHAnsi"/>
        </w:rPr>
        <w:t xml:space="preserve"> (PH2)</w:t>
      </w:r>
      <w:r w:rsidRPr="00B45B39">
        <w:rPr>
          <w:rFonts w:cstheme="minorHAnsi"/>
        </w:rPr>
        <w:t xml:space="preserve">. </w:t>
      </w:r>
      <w:r>
        <w:rPr>
          <w:rFonts w:cstheme="minorHAnsi"/>
        </w:rPr>
        <w:t xml:space="preserve"> Data indicates that when PH2 units are operated at the upper 1% range, juvenile salmonids may incur high mortality and de-scaling.  Inductive and deductive reasoning pointed to poor hydraulic conditions in the unit </w:t>
      </w:r>
      <w:proofErr w:type="spellStart"/>
      <w:r>
        <w:rPr>
          <w:rFonts w:cstheme="minorHAnsi"/>
        </w:rPr>
        <w:t>gatewells</w:t>
      </w:r>
      <w:proofErr w:type="spellEnd"/>
      <w:r>
        <w:rPr>
          <w:rFonts w:cstheme="minorHAnsi"/>
        </w:rPr>
        <w:t xml:space="preserve">, specifically the A and B slots.  Currently the PH2 units are operated at the lower end of 1% to provide better hydraulic conditions, however this limits power generation and operational flexibility during high flows and is not a sustainable long-term solution. </w:t>
      </w:r>
    </w:p>
    <w:p w14:paraId="6BFF6193" w14:textId="77777777" w:rsidR="0069067E" w:rsidRPr="00CB6BC2" w:rsidRDefault="0069067E" w:rsidP="0069067E">
      <w:r>
        <w:rPr>
          <w:rFonts w:cstheme="minorHAnsi"/>
        </w:rPr>
        <w:t>S</w:t>
      </w:r>
      <w:r w:rsidRPr="00CB6BC2">
        <w:t xml:space="preserve">teel plates were </w:t>
      </w:r>
      <w:r>
        <w:t xml:space="preserve">initially </w:t>
      </w:r>
      <w:r w:rsidRPr="00CB6BC2">
        <w:t xml:space="preserve">installed in the A and B </w:t>
      </w:r>
      <w:proofErr w:type="spellStart"/>
      <w:r w:rsidRPr="00CB6BC2">
        <w:t>gatewells</w:t>
      </w:r>
      <w:proofErr w:type="spellEnd"/>
      <w:r>
        <w:t xml:space="preserve"> of all the PH2 units</w:t>
      </w:r>
      <w:r w:rsidRPr="00CB6BC2">
        <w:t xml:space="preserve"> to restrict flow</w:t>
      </w:r>
      <w:r>
        <w:t xml:space="preserve"> and improve juvenile passage conditions</w:t>
      </w:r>
      <w:r w:rsidRPr="00CB6BC2">
        <w:t xml:space="preserve">. During routine inspections, however, it became apparent that the anchoring system for the steel plates had come lose, posing the risk that the plates could detach and </w:t>
      </w:r>
      <w:r>
        <w:t>damage a turbine unit</w:t>
      </w:r>
      <w:r w:rsidRPr="00CB6BC2">
        <w:t xml:space="preserve">. </w:t>
      </w:r>
      <w:r>
        <w:t xml:space="preserve">The steel plates were removed from all units and a new flow control system was designed that met the same hydraulic and biological goals.    </w:t>
      </w:r>
    </w:p>
    <w:p w14:paraId="3F4F4222" w14:textId="77777777" w:rsidR="0069067E" w:rsidRDefault="0069067E" w:rsidP="0069067E">
      <w:pPr>
        <w:autoSpaceDE w:val="0"/>
        <w:autoSpaceDN w:val="0"/>
        <w:adjustRightInd w:val="0"/>
        <w:spacing w:line="240" w:lineRule="auto"/>
        <w:rPr>
          <w:rFonts w:cstheme="minorHAnsi"/>
          <w:iCs/>
          <w:color w:val="000000"/>
        </w:rPr>
      </w:pPr>
      <w:r>
        <w:t xml:space="preserve">A concrete corbel was installed in Unit 15 in spring of 2021 for initial testing; hydraulic testing was delayed.  </w:t>
      </w:r>
      <w:r>
        <w:rPr>
          <w:rFonts w:cstheme="minorHAnsi"/>
          <w:iCs/>
          <w:color w:val="000000"/>
        </w:rPr>
        <w:t xml:space="preserve">Remaining work includes hydraulic testing in Unit 15 in the spring of 2022 (A/E contract), and corbel installation in the remaining seven PH2 units (construction contract).  These contracts will be awarded in FY21 with the hydraulic testing occurring in FY22 and the construction in FY23 (winter of 2022-23).  </w:t>
      </w:r>
    </w:p>
    <w:p w14:paraId="5EA8E466" w14:textId="77777777" w:rsidR="0069067E" w:rsidRPr="009A1148" w:rsidRDefault="0069067E" w:rsidP="0069067E">
      <w:pPr>
        <w:autoSpaceDE w:val="0"/>
        <w:autoSpaceDN w:val="0"/>
        <w:adjustRightInd w:val="0"/>
        <w:spacing w:line="240" w:lineRule="auto"/>
        <w:rPr>
          <w:rFonts w:cstheme="minorHAnsi"/>
          <w:iCs/>
          <w:color w:val="000000"/>
        </w:rPr>
      </w:pPr>
      <w:r>
        <w:rPr>
          <w:rFonts w:cstheme="minorHAnsi"/>
          <w:iCs/>
          <w:color w:val="000000"/>
        </w:rPr>
        <w:t xml:space="preserve">The original FY22 capability assumed construction contract award for 3 of the units in FY22, some construction occurring the winter of 2021-22, and contract oversight for that work. </w:t>
      </w:r>
    </w:p>
    <w:p w14:paraId="104EF2ED" w14:textId="77777777" w:rsidR="0069067E" w:rsidRPr="00B45B39" w:rsidRDefault="0069067E" w:rsidP="0069067E">
      <w:pPr>
        <w:pStyle w:val="Default"/>
        <w:rPr>
          <w:rFonts w:asciiTheme="minorHAnsi" w:hAnsiTheme="minorHAnsi" w:cstheme="minorHAnsi"/>
          <w:color w:val="auto"/>
        </w:rPr>
      </w:pPr>
    </w:p>
    <w:p w14:paraId="3FCA27B8" w14:textId="77777777" w:rsidR="0069067E" w:rsidRPr="00B45B39" w:rsidRDefault="0069067E" w:rsidP="0069067E">
      <w:pPr>
        <w:pStyle w:val="Default"/>
        <w:rPr>
          <w:rFonts w:asciiTheme="minorHAnsi" w:hAnsiTheme="minorHAnsi" w:cstheme="minorHAnsi"/>
          <w:b/>
          <w:color w:val="auto"/>
        </w:rPr>
      </w:pPr>
      <w:r w:rsidRPr="00B45B39">
        <w:rPr>
          <w:rFonts w:asciiTheme="minorHAnsi" w:hAnsiTheme="minorHAnsi" w:cstheme="minorHAnsi"/>
          <w:b/>
          <w:color w:val="auto"/>
        </w:rPr>
        <w:t>SCHEDULE &amp; COST</w:t>
      </w:r>
    </w:p>
    <w:p w14:paraId="49628B78" w14:textId="77777777" w:rsidR="0069067E" w:rsidRPr="00B45B39" w:rsidRDefault="0069067E" w:rsidP="0069067E">
      <w:pPr>
        <w:pStyle w:val="Default"/>
        <w:rPr>
          <w:rFonts w:asciiTheme="minorHAnsi" w:hAnsiTheme="minorHAnsi" w:cstheme="minorHAnsi"/>
          <w:b/>
          <w:color w:val="auto"/>
        </w:rPr>
      </w:pPr>
    </w:p>
    <w:tbl>
      <w:tblPr>
        <w:tblStyle w:val="TableGrid"/>
        <w:tblW w:w="0" w:type="auto"/>
        <w:tblLook w:val="04A0" w:firstRow="1" w:lastRow="0" w:firstColumn="1" w:lastColumn="0" w:noHBand="0" w:noVBand="1"/>
      </w:tblPr>
      <w:tblGrid>
        <w:gridCol w:w="1885"/>
        <w:gridCol w:w="1123"/>
        <w:gridCol w:w="6342"/>
      </w:tblGrid>
      <w:tr w:rsidR="0069067E" w:rsidRPr="00B45B39" w14:paraId="31D06C6C" w14:textId="77777777" w:rsidTr="009A3A83">
        <w:tc>
          <w:tcPr>
            <w:tcW w:w="1885" w:type="dxa"/>
          </w:tcPr>
          <w:p w14:paraId="648D5B53"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YEAR</w:t>
            </w:r>
          </w:p>
        </w:tc>
        <w:tc>
          <w:tcPr>
            <w:tcW w:w="1123" w:type="dxa"/>
          </w:tcPr>
          <w:p w14:paraId="1DF56C1A"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COST</w:t>
            </w:r>
          </w:p>
        </w:tc>
        <w:tc>
          <w:tcPr>
            <w:tcW w:w="6342" w:type="dxa"/>
          </w:tcPr>
          <w:p w14:paraId="6B40D8F7" w14:textId="77777777" w:rsidR="0069067E" w:rsidRPr="00B45B39" w:rsidRDefault="0069067E" w:rsidP="009A3A83">
            <w:pPr>
              <w:pStyle w:val="Default"/>
              <w:rPr>
                <w:rFonts w:asciiTheme="minorHAnsi" w:hAnsiTheme="minorHAnsi" w:cstheme="minorHAnsi"/>
                <w:b/>
                <w:color w:val="auto"/>
              </w:rPr>
            </w:pPr>
            <w:r w:rsidRPr="00B45B39">
              <w:rPr>
                <w:rFonts w:asciiTheme="minorHAnsi" w:hAnsiTheme="minorHAnsi" w:cstheme="minorHAnsi"/>
                <w:b/>
                <w:color w:val="auto"/>
              </w:rPr>
              <w:t>MAJOR ACTIVITIES</w:t>
            </w:r>
          </w:p>
        </w:tc>
      </w:tr>
      <w:tr w:rsidR="0069067E" w:rsidRPr="00B45B39" w14:paraId="2EB88070" w14:textId="77777777" w:rsidTr="009A3A83">
        <w:tc>
          <w:tcPr>
            <w:tcW w:w="1885" w:type="dxa"/>
            <w:vAlign w:val="center"/>
          </w:tcPr>
          <w:p w14:paraId="23DC4C45" w14:textId="77777777" w:rsidR="0069067E" w:rsidRPr="00B45B39" w:rsidRDefault="0069067E" w:rsidP="009A3A83">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Pr>
                <w:rFonts w:asciiTheme="minorHAnsi" w:hAnsiTheme="minorHAnsi" w:cstheme="minorHAnsi"/>
                <w:b/>
                <w:color w:val="auto"/>
                <w:sz w:val="22"/>
              </w:rPr>
              <w:t xml:space="preserve">21 Est. </w:t>
            </w:r>
            <w:r w:rsidRPr="00B45B39">
              <w:rPr>
                <w:rFonts w:asciiTheme="minorHAnsi" w:hAnsiTheme="minorHAnsi" w:cstheme="minorHAnsi"/>
                <w:b/>
                <w:color w:val="auto"/>
                <w:sz w:val="22"/>
              </w:rPr>
              <w:t>Actual Obligation</w:t>
            </w:r>
          </w:p>
        </w:tc>
        <w:tc>
          <w:tcPr>
            <w:tcW w:w="1123" w:type="dxa"/>
          </w:tcPr>
          <w:p w14:paraId="5566AF28" w14:textId="2DA2A112" w:rsidR="0069067E" w:rsidRPr="0069067E" w:rsidRDefault="0069067E" w:rsidP="0069067E">
            <w:pPr>
              <w:pStyle w:val="Default"/>
              <w:spacing w:before="120"/>
              <w:jc w:val="center"/>
              <w:rPr>
                <w:rFonts w:asciiTheme="minorHAnsi" w:hAnsiTheme="minorHAnsi" w:cstheme="minorHAnsi"/>
                <w:color w:val="auto"/>
                <w:sz w:val="22"/>
              </w:rPr>
            </w:pPr>
            <w:r w:rsidRPr="0069067E">
              <w:rPr>
                <w:rFonts w:asciiTheme="minorHAnsi" w:hAnsiTheme="minorHAnsi" w:cstheme="minorHAnsi"/>
                <w:color w:val="auto"/>
                <w:sz w:val="22"/>
              </w:rPr>
              <w:t>$</w:t>
            </w:r>
            <w:r w:rsidRPr="0069067E">
              <w:rPr>
                <w:rFonts w:asciiTheme="minorHAnsi" w:hAnsiTheme="minorHAnsi" w:cstheme="minorHAnsi"/>
                <w:color w:val="auto"/>
                <w:sz w:val="22"/>
              </w:rPr>
              <w:t>1.9</w:t>
            </w:r>
            <w:r w:rsidRPr="0069067E">
              <w:rPr>
                <w:rFonts w:asciiTheme="minorHAnsi" w:hAnsiTheme="minorHAnsi" w:cstheme="minorHAnsi"/>
                <w:color w:val="auto"/>
                <w:sz w:val="22"/>
              </w:rPr>
              <w:t>M</w:t>
            </w:r>
          </w:p>
        </w:tc>
        <w:tc>
          <w:tcPr>
            <w:tcW w:w="6342" w:type="dxa"/>
          </w:tcPr>
          <w:p w14:paraId="5F5A854B" w14:textId="77777777" w:rsidR="0069067E" w:rsidRPr="00B45B39" w:rsidRDefault="0069067E" w:rsidP="009A3A83">
            <w:pPr>
              <w:pStyle w:val="Default"/>
              <w:rPr>
                <w:rFonts w:asciiTheme="minorHAnsi" w:hAnsiTheme="minorHAnsi" w:cstheme="minorHAnsi"/>
                <w:color w:val="auto"/>
                <w:sz w:val="22"/>
              </w:rPr>
            </w:pPr>
            <w:r>
              <w:rPr>
                <w:rFonts w:asciiTheme="minorHAnsi" w:hAnsiTheme="minorHAnsi" w:cstheme="minorHAnsi"/>
                <w:color w:val="auto"/>
                <w:sz w:val="22"/>
              </w:rPr>
              <w:t xml:space="preserve">Construction in Unit 15, award of hydraulic A/E contract, award of all construction CLINs. </w:t>
            </w:r>
          </w:p>
        </w:tc>
      </w:tr>
      <w:tr w:rsidR="0069067E" w:rsidRPr="00B45B39" w14:paraId="7EB94D52" w14:textId="77777777" w:rsidTr="009A3A83">
        <w:tc>
          <w:tcPr>
            <w:tcW w:w="1885" w:type="dxa"/>
            <w:vAlign w:val="center"/>
          </w:tcPr>
          <w:p w14:paraId="77241BA1" w14:textId="77777777" w:rsidR="0069067E" w:rsidRPr="00B45B39" w:rsidRDefault="0069067E" w:rsidP="009A3A83">
            <w:pPr>
              <w:pStyle w:val="Default"/>
              <w:rPr>
                <w:rFonts w:asciiTheme="minorHAnsi" w:hAnsiTheme="minorHAnsi" w:cstheme="minorHAnsi"/>
                <w:b/>
                <w:color w:val="auto"/>
                <w:sz w:val="22"/>
              </w:rPr>
            </w:pPr>
            <w:r w:rsidRPr="00B45B39">
              <w:rPr>
                <w:rFonts w:asciiTheme="minorHAnsi" w:hAnsiTheme="minorHAnsi" w:cstheme="minorHAnsi"/>
                <w:b/>
                <w:color w:val="auto"/>
                <w:sz w:val="22"/>
              </w:rPr>
              <w:t>FY</w:t>
            </w:r>
            <w:r>
              <w:rPr>
                <w:rFonts w:asciiTheme="minorHAnsi" w:hAnsiTheme="minorHAnsi" w:cstheme="minorHAnsi"/>
                <w:b/>
                <w:color w:val="auto"/>
                <w:sz w:val="22"/>
              </w:rPr>
              <w:t>22 Capability</w:t>
            </w:r>
          </w:p>
        </w:tc>
        <w:tc>
          <w:tcPr>
            <w:tcW w:w="1123" w:type="dxa"/>
          </w:tcPr>
          <w:p w14:paraId="3F44F29D" w14:textId="77777777" w:rsidR="0069067E" w:rsidRPr="0069067E" w:rsidRDefault="0069067E" w:rsidP="0069067E">
            <w:pPr>
              <w:pStyle w:val="Default"/>
              <w:spacing w:before="240"/>
              <w:jc w:val="center"/>
              <w:rPr>
                <w:rFonts w:asciiTheme="minorHAnsi" w:hAnsiTheme="minorHAnsi" w:cstheme="minorHAnsi"/>
                <w:color w:val="auto"/>
                <w:sz w:val="22"/>
              </w:rPr>
            </w:pPr>
            <w:r w:rsidRPr="0069067E">
              <w:rPr>
                <w:rFonts w:asciiTheme="minorHAnsi" w:hAnsiTheme="minorHAnsi" w:cstheme="minorHAnsi"/>
                <w:color w:val="auto"/>
                <w:sz w:val="22"/>
              </w:rPr>
              <w:t>$1.5M</w:t>
            </w:r>
          </w:p>
        </w:tc>
        <w:tc>
          <w:tcPr>
            <w:tcW w:w="6342" w:type="dxa"/>
          </w:tcPr>
          <w:p w14:paraId="531C4614" w14:textId="39A4A87F" w:rsidR="0069067E" w:rsidRPr="00B45B39" w:rsidRDefault="0069067E" w:rsidP="009A3A83">
            <w:pPr>
              <w:pStyle w:val="Default"/>
              <w:rPr>
                <w:rFonts w:asciiTheme="minorHAnsi" w:hAnsiTheme="minorHAnsi" w:cstheme="minorHAnsi"/>
                <w:color w:val="auto"/>
                <w:sz w:val="22"/>
              </w:rPr>
            </w:pPr>
            <w:r>
              <w:rPr>
                <w:rFonts w:asciiTheme="minorHAnsi" w:hAnsiTheme="minorHAnsi" w:cstheme="minorHAnsi"/>
                <w:color w:val="auto"/>
                <w:sz w:val="22"/>
              </w:rPr>
              <w:t xml:space="preserve">Oversight, review of the hydraulic testing.  </w:t>
            </w:r>
            <w:r w:rsidRPr="00A72E88">
              <w:rPr>
                <w:rFonts w:asciiTheme="minorHAnsi" w:hAnsiTheme="minorHAnsi" w:cstheme="minorHAnsi"/>
                <w:color w:val="auto"/>
                <w:sz w:val="22"/>
                <w:highlight w:val="yellow"/>
              </w:rPr>
              <w:t>Construction award for 3 units and contract oversight.</w:t>
            </w:r>
            <w:r>
              <w:rPr>
                <w:rFonts w:asciiTheme="minorHAnsi" w:hAnsiTheme="minorHAnsi" w:cstheme="minorHAnsi"/>
                <w:color w:val="auto"/>
                <w:sz w:val="22"/>
              </w:rPr>
              <w:t xml:space="preserve"> </w:t>
            </w:r>
            <w:r>
              <w:rPr>
                <w:rFonts w:asciiTheme="minorHAnsi" w:hAnsiTheme="minorHAnsi" w:cstheme="minorHAnsi"/>
                <w:color w:val="auto"/>
                <w:sz w:val="22"/>
              </w:rPr>
              <w:t xml:space="preserve">Modification of construction contract to change dates. </w:t>
            </w:r>
          </w:p>
        </w:tc>
      </w:tr>
    </w:tbl>
    <w:p w14:paraId="0EE9F910" w14:textId="77777777" w:rsidR="001D2CD8" w:rsidRPr="00B45B39" w:rsidRDefault="001D2CD8" w:rsidP="0032621C">
      <w:pPr>
        <w:tabs>
          <w:tab w:val="left" w:pos="360"/>
        </w:tabs>
        <w:spacing w:line="240" w:lineRule="auto"/>
        <w:rPr>
          <w:rFonts w:cstheme="minorHAnsi"/>
          <w:b/>
          <w:sz w:val="24"/>
          <w:szCs w:val="24"/>
        </w:rPr>
      </w:pPr>
      <w:bookmarkStart w:id="0" w:name="_GoBack"/>
      <w:bookmarkEnd w:id="0"/>
    </w:p>
    <w:sectPr w:rsidR="001D2CD8" w:rsidRPr="00B45B39" w:rsidSect="00A52E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0AFC" w14:textId="77777777" w:rsidR="00BC4C20" w:rsidRDefault="00BC4C20" w:rsidP="007C6093">
      <w:pPr>
        <w:spacing w:after="0" w:line="240" w:lineRule="auto"/>
      </w:pPr>
      <w:r>
        <w:separator/>
      </w:r>
    </w:p>
  </w:endnote>
  <w:endnote w:type="continuationSeparator" w:id="0">
    <w:p w14:paraId="51B15AFD" w14:textId="77777777" w:rsidR="00BC4C20" w:rsidRDefault="00BC4C20"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1E80" w14:textId="77777777" w:rsidR="00BC4C20" w:rsidRDefault="00BC4C20" w:rsidP="007C6093">
      <w:pPr>
        <w:spacing w:after="0" w:line="240" w:lineRule="auto"/>
      </w:pPr>
      <w:r>
        <w:separator/>
      </w:r>
    </w:p>
  </w:footnote>
  <w:footnote w:type="continuationSeparator" w:id="0">
    <w:p w14:paraId="1CEBEEB6" w14:textId="77777777" w:rsidR="00BC4C20" w:rsidRDefault="00BC4C20" w:rsidP="007C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98F1" w14:textId="4FB321EA" w:rsidR="007C6093" w:rsidRDefault="001E2F1B">
    <w:pPr>
      <w:pStyle w:val="Header"/>
    </w:pPr>
    <w:r>
      <w:t xml:space="preserve">CRFM PROGRAM – </w:t>
    </w:r>
    <w:r w:rsidR="00B45B39">
      <w:t>COLUMBIA RIVER WORKPLAN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3EF4"/>
    <w:multiLevelType w:val="hybridMultilevel"/>
    <w:tmpl w:val="B88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E7AD6"/>
    <w:multiLevelType w:val="hybridMultilevel"/>
    <w:tmpl w:val="65307948"/>
    <w:lvl w:ilvl="0" w:tplc="04090001">
      <w:start w:val="1"/>
      <w:numFmt w:val="bullet"/>
      <w:lvlText w:val=""/>
      <w:lvlJc w:val="left"/>
      <w:pPr>
        <w:ind w:left="360" w:hanging="360"/>
      </w:pPr>
      <w:rPr>
        <w:rFonts w:ascii="Symbol" w:hAnsi="Symbol" w:hint="default"/>
      </w:rPr>
    </w:lvl>
    <w:lvl w:ilvl="1" w:tplc="4F2E216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8"/>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DD"/>
    <w:rsid w:val="00002563"/>
    <w:rsid w:val="000461A9"/>
    <w:rsid w:val="00057C72"/>
    <w:rsid w:val="000708CA"/>
    <w:rsid w:val="000A2365"/>
    <w:rsid w:val="000A3585"/>
    <w:rsid w:val="000C121B"/>
    <w:rsid w:val="000D67E7"/>
    <w:rsid w:val="000E269F"/>
    <w:rsid w:val="001043CB"/>
    <w:rsid w:val="00111815"/>
    <w:rsid w:val="00135748"/>
    <w:rsid w:val="0014611E"/>
    <w:rsid w:val="001A1126"/>
    <w:rsid w:val="001A657A"/>
    <w:rsid w:val="001B0B24"/>
    <w:rsid w:val="001C5090"/>
    <w:rsid w:val="001C50CF"/>
    <w:rsid w:val="001D2CD8"/>
    <w:rsid w:val="001E2F1B"/>
    <w:rsid w:val="00262421"/>
    <w:rsid w:val="00264B28"/>
    <w:rsid w:val="002D29C5"/>
    <w:rsid w:val="002E1449"/>
    <w:rsid w:val="002F404A"/>
    <w:rsid w:val="0030041C"/>
    <w:rsid w:val="0030674D"/>
    <w:rsid w:val="00322958"/>
    <w:rsid w:val="0032621C"/>
    <w:rsid w:val="00356D4B"/>
    <w:rsid w:val="00364B1E"/>
    <w:rsid w:val="003B0929"/>
    <w:rsid w:val="003D2255"/>
    <w:rsid w:val="00407629"/>
    <w:rsid w:val="00423E4E"/>
    <w:rsid w:val="00432435"/>
    <w:rsid w:val="00446100"/>
    <w:rsid w:val="0047768A"/>
    <w:rsid w:val="004813B5"/>
    <w:rsid w:val="004B09F7"/>
    <w:rsid w:val="004B7D45"/>
    <w:rsid w:val="004C3C42"/>
    <w:rsid w:val="004D7DAB"/>
    <w:rsid w:val="004F2147"/>
    <w:rsid w:val="004F71E9"/>
    <w:rsid w:val="005139D7"/>
    <w:rsid w:val="005376E3"/>
    <w:rsid w:val="00540970"/>
    <w:rsid w:val="005666F3"/>
    <w:rsid w:val="005942EE"/>
    <w:rsid w:val="005E65F0"/>
    <w:rsid w:val="005E6697"/>
    <w:rsid w:val="00607A09"/>
    <w:rsid w:val="00630690"/>
    <w:rsid w:val="00643AD3"/>
    <w:rsid w:val="006668BE"/>
    <w:rsid w:val="00675397"/>
    <w:rsid w:val="0069067E"/>
    <w:rsid w:val="00697E56"/>
    <w:rsid w:val="006B446F"/>
    <w:rsid w:val="006C65BB"/>
    <w:rsid w:val="006E630B"/>
    <w:rsid w:val="007124F9"/>
    <w:rsid w:val="007132D8"/>
    <w:rsid w:val="00727958"/>
    <w:rsid w:val="00761ED2"/>
    <w:rsid w:val="007C5A7F"/>
    <w:rsid w:val="007C6093"/>
    <w:rsid w:val="007D5B5E"/>
    <w:rsid w:val="00832535"/>
    <w:rsid w:val="00832F67"/>
    <w:rsid w:val="00867EFA"/>
    <w:rsid w:val="00895394"/>
    <w:rsid w:val="008A0CC0"/>
    <w:rsid w:val="008A10CF"/>
    <w:rsid w:val="008C692A"/>
    <w:rsid w:val="008D7ED5"/>
    <w:rsid w:val="008F5322"/>
    <w:rsid w:val="00940A06"/>
    <w:rsid w:val="00940C28"/>
    <w:rsid w:val="0094515B"/>
    <w:rsid w:val="009451C3"/>
    <w:rsid w:val="0096440D"/>
    <w:rsid w:val="009947DF"/>
    <w:rsid w:val="009A1148"/>
    <w:rsid w:val="009B331B"/>
    <w:rsid w:val="009C3B33"/>
    <w:rsid w:val="009D0D8C"/>
    <w:rsid w:val="009E0C76"/>
    <w:rsid w:val="00A12188"/>
    <w:rsid w:val="00A13BBB"/>
    <w:rsid w:val="00A23EC6"/>
    <w:rsid w:val="00A37DA4"/>
    <w:rsid w:val="00A52E17"/>
    <w:rsid w:val="00A56C8B"/>
    <w:rsid w:val="00A72E88"/>
    <w:rsid w:val="00AB1EF4"/>
    <w:rsid w:val="00AB2F05"/>
    <w:rsid w:val="00AB43DD"/>
    <w:rsid w:val="00AF1E61"/>
    <w:rsid w:val="00AF6AD4"/>
    <w:rsid w:val="00B153DD"/>
    <w:rsid w:val="00B17064"/>
    <w:rsid w:val="00B263D4"/>
    <w:rsid w:val="00B27A03"/>
    <w:rsid w:val="00B35620"/>
    <w:rsid w:val="00B45B39"/>
    <w:rsid w:val="00B677C9"/>
    <w:rsid w:val="00B75ADF"/>
    <w:rsid w:val="00BA6163"/>
    <w:rsid w:val="00BC4C20"/>
    <w:rsid w:val="00BC5A2A"/>
    <w:rsid w:val="00BE2E7E"/>
    <w:rsid w:val="00BE46C5"/>
    <w:rsid w:val="00C013D2"/>
    <w:rsid w:val="00C514E7"/>
    <w:rsid w:val="00C62F28"/>
    <w:rsid w:val="00CA13F4"/>
    <w:rsid w:val="00CB264C"/>
    <w:rsid w:val="00CE724F"/>
    <w:rsid w:val="00D1748E"/>
    <w:rsid w:val="00DB36C3"/>
    <w:rsid w:val="00DD1F53"/>
    <w:rsid w:val="00DF536A"/>
    <w:rsid w:val="00E151D4"/>
    <w:rsid w:val="00E21363"/>
    <w:rsid w:val="00E227E9"/>
    <w:rsid w:val="00E34557"/>
    <w:rsid w:val="00E47459"/>
    <w:rsid w:val="00E529CE"/>
    <w:rsid w:val="00E74DE5"/>
    <w:rsid w:val="00EA667C"/>
    <w:rsid w:val="00ED5903"/>
    <w:rsid w:val="00EE38FC"/>
    <w:rsid w:val="00EF78C1"/>
    <w:rsid w:val="00F26BB1"/>
    <w:rsid w:val="00F30035"/>
    <w:rsid w:val="00F4159E"/>
    <w:rsid w:val="00F54234"/>
    <w:rsid w:val="00F564B6"/>
    <w:rsid w:val="00F57F4B"/>
    <w:rsid w:val="00F71268"/>
    <w:rsid w:val="00FC4C6B"/>
    <w:rsid w:val="00FD3E96"/>
    <w:rsid w:val="00FF1241"/>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EC21"/>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4553">
      <w:bodyDiv w:val="1"/>
      <w:marLeft w:val="0"/>
      <w:marRight w:val="0"/>
      <w:marTop w:val="0"/>
      <w:marBottom w:val="0"/>
      <w:divBdr>
        <w:top w:val="none" w:sz="0" w:space="0" w:color="auto"/>
        <w:left w:val="none" w:sz="0" w:space="0" w:color="auto"/>
        <w:bottom w:val="none" w:sz="0" w:space="0" w:color="auto"/>
        <w:right w:val="none" w:sz="0" w:space="0" w:color="auto"/>
      </w:divBdr>
    </w:div>
    <w:div w:id="984552835">
      <w:bodyDiv w:val="1"/>
      <w:marLeft w:val="0"/>
      <w:marRight w:val="0"/>
      <w:marTop w:val="0"/>
      <w:marBottom w:val="0"/>
      <w:divBdr>
        <w:top w:val="none" w:sz="0" w:space="0" w:color="auto"/>
        <w:left w:val="none" w:sz="0" w:space="0" w:color="auto"/>
        <w:bottom w:val="none" w:sz="0" w:space="0" w:color="auto"/>
        <w:right w:val="none" w:sz="0" w:space="0" w:color="auto"/>
      </w:divBdr>
      <w:divsChild>
        <w:div w:id="417870717">
          <w:marLeft w:val="0"/>
          <w:marRight w:val="0"/>
          <w:marTop w:val="0"/>
          <w:marBottom w:val="0"/>
          <w:divBdr>
            <w:top w:val="none" w:sz="0" w:space="0" w:color="auto"/>
            <w:left w:val="none" w:sz="0" w:space="0" w:color="auto"/>
            <w:bottom w:val="none" w:sz="0" w:space="0" w:color="auto"/>
            <w:right w:val="none" w:sz="0" w:space="0" w:color="auto"/>
          </w:divBdr>
        </w:div>
        <w:div w:id="1199899737">
          <w:marLeft w:val="0"/>
          <w:marRight w:val="0"/>
          <w:marTop w:val="0"/>
          <w:marBottom w:val="0"/>
          <w:divBdr>
            <w:top w:val="none" w:sz="0" w:space="0" w:color="auto"/>
            <w:left w:val="none" w:sz="0" w:space="0" w:color="auto"/>
            <w:bottom w:val="none" w:sz="0" w:space="0" w:color="auto"/>
            <w:right w:val="none" w:sz="0" w:space="0" w:color="auto"/>
          </w:divBdr>
        </w:div>
        <w:div w:id="1134522432">
          <w:marLeft w:val="0"/>
          <w:marRight w:val="0"/>
          <w:marTop w:val="0"/>
          <w:marBottom w:val="0"/>
          <w:divBdr>
            <w:top w:val="none" w:sz="0" w:space="0" w:color="auto"/>
            <w:left w:val="none" w:sz="0" w:space="0" w:color="auto"/>
            <w:bottom w:val="none" w:sz="0" w:space="0" w:color="auto"/>
            <w:right w:val="none" w:sz="0" w:space="0" w:color="auto"/>
          </w:divBdr>
        </w:div>
        <w:div w:id="1636988118">
          <w:marLeft w:val="0"/>
          <w:marRight w:val="0"/>
          <w:marTop w:val="0"/>
          <w:marBottom w:val="0"/>
          <w:divBdr>
            <w:top w:val="none" w:sz="0" w:space="0" w:color="auto"/>
            <w:left w:val="none" w:sz="0" w:space="0" w:color="auto"/>
            <w:bottom w:val="none" w:sz="0" w:space="0" w:color="auto"/>
            <w:right w:val="none" w:sz="0" w:space="0" w:color="auto"/>
          </w:divBdr>
        </w:div>
        <w:div w:id="131441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Royer, Ida</cp:lastModifiedBy>
  <cp:revision>5</cp:revision>
  <cp:lastPrinted>2017-06-23T18:17:00Z</cp:lastPrinted>
  <dcterms:created xsi:type="dcterms:W3CDTF">2021-09-13T17:57:00Z</dcterms:created>
  <dcterms:modified xsi:type="dcterms:W3CDTF">2021-09-13T18:04:00Z</dcterms:modified>
</cp:coreProperties>
</file>